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68A6A" w14:textId="77777777" w:rsidR="00924AFE" w:rsidRPr="00D445FB" w:rsidRDefault="0085733F" w:rsidP="0085733F">
      <w:pPr>
        <w:spacing w:after="1000"/>
      </w:pPr>
      <w:r w:rsidRPr="00D445FB">
        <w:rPr>
          <w:noProof/>
        </w:rPr>
        <w:drawing>
          <wp:inline distT="0" distB="0" distL="0" distR="0" wp14:anchorId="50C3EC21" wp14:editId="0746959E">
            <wp:extent cx="2162175" cy="276225"/>
            <wp:effectExtent l="0" t="0" r="9525" b="9525"/>
            <wp:docPr id="1" name="Graphic 1" descr="Essex County Council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Essex County Council logo&#10;"/>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162175" cy="276225"/>
                    </a:xfrm>
                    <a:prstGeom prst="rect">
                      <a:avLst/>
                    </a:prstGeom>
                  </pic:spPr>
                </pic:pic>
              </a:graphicData>
            </a:graphic>
          </wp:inline>
        </w:drawing>
      </w:r>
    </w:p>
    <w:p w14:paraId="5A58F007" w14:textId="77777777" w:rsidR="00772CB3" w:rsidRPr="00772CB3" w:rsidRDefault="00772CB3" w:rsidP="00772CB3">
      <w:pPr>
        <w:pStyle w:val="Title"/>
      </w:pPr>
      <w:r w:rsidRPr="00772CB3">
        <w:t>Guidance on Preventing Inappropriate Use of the DB Code for Pupils with SEND</w:t>
      </w:r>
    </w:p>
    <w:p w14:paraId="20FD2F7C" w14:textId="77777777" w:rsidR="0085733F" w:rsidRPr="00D445FB" w:rsidRDefault="0085733F" w:rsidP="0085733F">
      <w:pPr>
        <w:pStyle w:val="Title"/>
      </w:pPr>
    </w:p>
    <w:p w14:paraId="2C1373F3" w14:textId="77777777" w:rsidR="0085733F" w:rsidRPr="00111E24" w:rsidRDefault="00772CB3" w:rsidP="0085733F">
      <w:pPr>
        <w:pStyle w:val="Subtitle"/>
        <w:rPr>
          <w:b/>
          <w:bCs/>
        </w:rPr>
      </w:pPr>
      <w:r w:rsidRPr="00111E24">
        <w:rPr>
          <w:b/>
          <w:bCs/>
        </w:rPr>
        <w:t xml:space="preserve">Executive Summary </w:t>
      </w:r>
    </w:p>
    <w:p w14:paraId="01540B32" w14:textId="77777777" w:rsidR="00772CB3" w:rsidRPr="00772CB3" w:rsidRDefault="00772CB3" w:rsidP="00772CB3">
      <w:p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This document sets out Essex’s expectations, statutory responsibilities and practice guidance for the suspension or permanent exclusion of pupils with Special Educational Needs and Disabilities (SEND), with a particular focus on preventing inappropriate use of the DB code (Persistent or General Disruptive Behaviour). It reinforces the principle that suspensions or exclusions must always be a last resort and that behaviour should be understood in the context of unmet need, in line with statutory duties and Trauma Perceptive Practice (TPP).</w:t>
      </w:r>
    </w:p>
    <w:p w14:paraId="103E2F72" w14:textId="77777777" w:rsidR="000D7879" w:rsidRPr="00D445FB" w:rsidRDefault="00772CB3" w:rsidP="000D7879">
      <w:pPr>
        <w:pStyle w:val="Heading1"/>
      </w:pPr>
      <w:r>
        <w:t xml:space="preserve">Statutory and Legal Duties </w:t>
      </w:r>
    </w:p>
    <w:p w14:paraId="3CAED752" w14:textId="77777777" w:rsidR="00772CB3" w:rsidRPr="00772CB3" w:rsidRDefault="00772CB3" w:rsidP="00772CB3">
      <w:p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Schools must comply with DfE statutory guidance, the Children and Families Act (2014), equality legislation and the SEND Code of Practice. This includes:</w:t>
      </w:r>
    </w:p>
    <w:p w14:paraId="1A873EE5" w14:textId="77777777" w:rsidR="00772CB3" w:rsidRPr="00772CB3" w:rsidRDefault="00772CB3" w:rsidP="00772CB3">
      <w:pPr>
        <w:numPr>
          <w:ilvl w:val="0"/>
          <w:numId w:val="11"/>
        </w:num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Using best endeavours to meet needs and making reasonable adjustments.</w:t>
      </w:r>
    </w:p>
    <w:p w14:paraId="518487BF" w14:textId="77777777" w:rsidR="00772CB3" w:rsidRPr="00772CB3" w:rsidRDefault="00772CB3" w:rsidP="00772CB3">
      <w:pPr>
        <w:numPr>
          <w:ilvl w:val="0"/>
          <w:numId w:val="11"/>
        </w:num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Reviewing and implementing provision before considering exclusion.</w:t>
      </w:r>
    </w:p>
    <w:p w14:paraId="645878D6" w14:textId="77777777" w:rsidR="002702B7" w:rsidRPr="00772CB3" w:rsidRDefault="00772CB3" w:rsidP="00C9493B">
      <w:pPr>
        <w:numPr>
          <w:ilvl w:val="0"/>
          <w:numId w:val="11"/>
        </w:num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Engaging relevant professionals and the local authority, especially for pupils with EHCPs. Excluding a pupil for behaviour related to unmet SEND can be discriminatory and unlawful.</w:t>
      </w:r>
    </w:p>
    <w:p w14:paraId="31208A67" w14:textId="77777777" w:rsidR="00772CB3" w:rsidRPr="00D445FB" w:rsidRDefault="00772CB3" w:rsidP="00772CB3">
      <w:pPr>
        <w:pStyle w:val="Heading1"/>
      </w:pPr>
      <w:r>
        <w:t xml:space="preserve">Essex’s Ambition </w:t>
      </w:r>
    </w:p>
    <w:p w14:paraId="486A5108" w14:textId="77777777" w:rsidR="00772CB3" w:rsidRPr="00772CB3" w:rsidRDefault="00772CB3" w:rsidP="00772CB3">
      <w:p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Essex aims to significantly reduce the use of the DB code for pupils with SEND, beginning with those with EHCPs. TPP underpins this ambition by promoting a values-led, needs</w:t>
      </w:r>
      <w:r w:rsidRPr="00772CB3">
        <w:rPr>
          <w:rFonts w:eastAsia="Times New Roman" w:cs="Segoe UI"/>
          <w:szCs w:val="24"/>
          <w:lang w:eastAsia="en-GB"/>
        </w:rPr>
        <w:noBreakHyphen/>
        <w:t>focused understanding of behaviour as a form of communication.</w:t>
      </w:r>
    </w:p>
    <w:p w14:paraId="31B381EA" w14:textId="77777777" w:rsidR="00772CB3" w:rsidRDefault="00772CB3" w:rsidP="00772CB3">
      <w:pPr>
        <w:pStyle w:val="Heading1"/>
      </w:pPr>
      <w:r>
        <w:t xml:space="preserve">Clarifying Appropriate Use of the DB Code </w:t>
      </w:r>
    </w:p>
    <w:p w14:paraId="4E8BB7F6" w14:textId="77777777" w:rsidR="00772CB3" w:rsidRPr="00772CB3" w:rsidRDefault="00772CB3" w:rsidP="00772CB3">
      <w:p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The DB code is commonly misused and often masks unmet need.</w:t>
      </w:r>
      <w:r w:rsidRPr="00772CB3">
        <w:rPr>
          <w:rFonts w:eastAsia="Times New Roman" w:cs="Segoe UI"/>
          <w:szCs w:val="24"/>
          <w:lang w:eastAsia="en-GB"/>
        </w:rPr>
        <w:br/>
        <w:t>The document clarifies:</w:t>
      </w:r>
    </w:p>
    <w:p w14:paraId="611D3CEB" w14:textId="77777777" w:rsidR="00772CB3" w:rsidRPr="00772CB3" w:rsidRDefault="00772CB3" w:rsidP="00772CB3">
      <w:pPr>
        <w:numPr>
          <w:ilvl w:val="0"/>
          <w:numId w:val="12"/>
        </w:numPr>
        <w:spacing w:before="100" w:beforeAutospacing="1" w:after="100" w:afterAutospacing="1" w:line="300" w:lineRule="atLeast"/>
        <w:rPr>
          <w:rFonts w:eastAsia="Times New Roman" w:cs="Segoe UI"/>
          <w:szCs w:val="24"/>
          <w:lang w:eastAsia="en-GB"/>
        </w:rPr>
      </w:pPr>
      <w:r w:rsidRPr="00772CB3">
        <w:rPr>
          <w:rFonts w:eastAsia="Times New Roman" w:cs="Segoe UI"/>
          <w:b/>
          <w:bCs/>
          <w:szCs w:val="24"/>
          <w:lang w:eastAsia="en-GB"/>
        </w:rPr>
        <w:t>Behaviours that should not fall under DB</w:t>
      </w:r>
      <w:r w:rsidRPr="00772CB3">
        <w:rPr>
          <w:rFonts w:eastAsia="Times New Roman" w:cs="Segoe UI"/>
          <w:szCs w:val="24"/>
          <w:lang w:eastAsia="en-GB"/>
        </w:rPr>
        <w:t>, such as emotional dysregulation, sensory overload, anxiety-based behaviours and low-level disruption linked to SEND.</w:t>
      </w:r>
    </w:p>
    <w:p w14:paraId="39B6FA6F" w14:textId="77777777" w:rsidR="00772CB3" w:rsidRPr="00772CB3" w:rsidRDefault="00772CB3" w:rsidP="00772CB3">
      <w:pPr>
        <w:numPr>
          <w:ilvl w:val="0"/>
          <w:numId w:val="12"/>
        </w:numPr>
        <w:spacing w:before="100" w:beforeAutospacing="1" w:after="100" w:afterAutospacing="1" w:line="300" w:lineRule="atLeast"/>
        <w:rPr>
          <w:rFonts w:eastAsia="Times New Roman" w:cs="Segoe UI"/>
          <w:szCs w:val="24"/>
          <w:lang w:eastAsia="en-GB"/>
        </w:rPr>
      </w:pPr>
      <w:r w:rsidRPr="00772CB3">
        <w:rPr>
          <w:rFonts w:eastAsia="Times New Roman" w:cs="Segoe UI"/>
          <w:b/>
          <w:bCs/>
          <w:szCs w:val="24"/>
          <w:lang w:eastAsia="en-GB"/>
        </w:rPr>
        <w:lastRenderedPageBreak/>
        <w:t>Behaviours that may appropriately fall under DB</w:t>
      </w:r>
      <w:r w:rsidRPr="00772CB3">
        <w:rPr>
          <w:rFonts w:eastAsia="Times New Roman" w:cs="Segoe UI"/>
          <w:szCs w:val="24"/>
          <w:lang w:eastAsia="en-GB"/>
        </w:rPr>
        <w:t>, but only when schools can clearly evidence that reasonable adjustments have been made and the behaviour is unrelated to SEND.</w:t>
      </w:r>
    </w:p>
    <w:p w14:paraId="3BB23FDA" w14:textId="77777777" w:rsidR="00772CB3" w:rsidRPr="00772CB3" w:rsidRDefault="00772CB3" w:rsidP="00772CB3">
      <w:p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Schools must ensure the DB code is not applied when EHCPs or One Plans have not been fully implemented or reviewed, or where the behaviour is likely to reflect emerging need.</w:t>
      </w:r>
    </w:p>
    <w:p w14:paraId="40486BA2" w14:textId="77777777" w:rsidR="00772CB3" w:rsidRDefault="00772CB3" w:rsidP="00772CB3">
      <w:pPr>
        <w:pStyle w:val="Heading1"/>
      </w:pPr>
      <w:r>
        <w:t xml:space="preserve">Alternative Exclusion Codes </w:t>
      </w:r>
    </w:p>
    <w:p w14:paraId="3555ECBC" w14:textId="77777777" w:rsidR="00772CB3" w:rsidRPr="00772CB3" w:rsidRDefault="00772CB3" w:rsidP="00772CB3">
      <w:p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The document highlights 14 other, more specific DfE codes that may more accurately describe incidents. Overuse of DB for pupils with SEND often indicates issues in provision rather than behaviour.</w:t>
      </w:r>
    </w:p>
    <w:p w14:paraId="3C67BBB1" w14:textId="46424280" w:rsidR="00772CB3" w:rsidRDefault="00772CB3" w:rsidP="00772CB3">
      <w:pPr>
        <w:pStyle w:val="Heading1"/>
      </w:pPr>
      <w:r>
        <w:t>TPP</w:t>
      </w:r>
      <w:r w:rsidR="008056D0">
        <w:t xml:space="preserve"> </w:t>
      </w:r>
      <w:r>
        <w:t xml:space="preserve">Aligned Practices Prior to Exclusion </w:t>
      </w:r>
    </w:p>
    <w:p w14:paraId="72985582" w14:textId="77777777" w:rsidR="00772CB3" w:rsidRPr="00772CB3" w:rsidRDefault="00772CB3" w:rsidP="00772CB3">
      <w:p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Schools should consider:</w:t>
      </w:r>
    </w:p>
    <w:p w14:paraId="59153EC2" w14:textId="77777777" w:rsidR="00772CB3" w:rsidRPr="00772CB3" w:rsidRDefault="00772CB3" w:rsidP="00772CB3">
      <w:pPr>
        <w:numPr>
          <w:ilvl w:val="0"/>
          <w:numId w:val="13"/>
        </w:numPr>
        <w:spacing w:before="100" w:beforeAutospacing="1" w:after="100" w:afterAutospacing="1" w:line="300" w:lineRule="atLeast"/>
        <w:rPr>
          <w:rFonts w:eastAsia="Times New Roman" w:cs="Segoe UI"/>
          <w:szCs w:val="24"/>
          <w:lang w:eastAsia="en-GB"/>
        </w:rPr>
      </w:pPr>
      <w:r w:rsidRPr="00772CB3">
        <w:rPr>
          <w:rFonts w:eastAsia="Times New Roman" w:cs="Segoe UI"/>
          <w:b/>
          <w:bCs/>
          <w:szCs w:val="24"/>
          <w:lang w:eastAsia="en-GB"/>
        </w:rPr>
        <w:t>Protective consequences</w:t>
      </w:r>
      <w:r w:rsidRPr="00772CB3">
        <w:rPr>
          <w:rFonts w:eastAsia="Times New Roman" w:cs="Segoe UI"/>
          <w:szCs w:val="24"/>
          <w:lang w:eastAsia="en-GB"/>
        </w:rPr>
        <w:t xml:space="preserve"> to maintain safety.</w:t>
      </w:r>
    </w:p>
    <w:p w14:paraId="1F156CEC" w14:textId="77777777" w:rsidR="00772CB3" w:rsidRPr="00772CB3" w:rsidRDefault="00772CB3" w:rsidP="00C9493B">
      <w:pPr>
        <w:numPr>
          <w:ilvl w:val="0"/>
          <w:numId w:val="13"/>
        </w:numPr>
        <w:spacing w:before="100" w:beforeAutospacing="1" w:after="100" w:afterAutospacing="1" w:line="300" w:lineRule="atLeast"/>
        <w:rPr>
          <w:rFonts w:eastAsia="Times New Roman" w:cs="Segoe UI"/>
          <w:szCs w:val="24"/>
          <w:lang w:eastAsia="en-GB"/>
        </w:rPr>
      </w:pPr>
      <w:r w:rsidRPr="00772CB3">
        <w:rPr>
          <w:rFonts w:eastAsia="Times New Roman" w:cs="Segoe UI"/>
          <w:b/>
          <w:bCs/>
          <w:szCs w:val="24"/>
          <w:lang w:eastAsia="en-GB"/>
        </w:rPr>
        <w:t>Educational consequences</w:t>
      </w:r>
      <w:r w:rsidRPr="00772CB3">
        <w:rPr>
          <w:rFonts w:eastAsia="Times New Roman" w:cs="Segoe UI"/>
          <w:szCs w:val="24"/>
          <w:lang w:eastAsia="en-GB"/>
        </w:rPr>
        <w:t xml:space="preserve"> to build skills and prevent recurrence. Examples include restorative work, catch-up learning, supervised spaces, skill-building interventions and, where needed, temporary suspension to allow for planning and adjustments.</w:t>
      </w:r>
    </w:p>
    <w:p w14:paraId="14006869" w14:textId="77777777" w:rsidR="00772CB3" w:rsidRDefault="00772CB3" w:rsidP="00772CB3">
      <w:pPr>
        <w:pStyle w:val="Heading1"/>
      </w:pPr>
      <w:r>
        <w:t xml:space="preserve">Reintegration Following Exclusion </w:t>
      </w:r>
    </w:p>
    <w:p w14:paraId="6EB25357" w14:textId="77777777" w:rsidR="00772CB3" w:rsidRPr="00772CB3" w:rsidRDefault="00772CB3" w:rsidP="00772CB3">
      <w:p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Reintegration must be thorough, relational and centred on pupil voice. This includes:</w:t>
      </w:r>
    </w:p>
    <w:p w14:paraId="4A343095" w14:textId="77777777" w:rsidR="00772CB3" w:rsidRPr="00772CB3" w:rsidRDefault="00772CB3" w:rsidP="00772CB3">
      <w:pPr>
        <w:numPr>
          <w:ilvl w:val="0"/>
          <w:numId w:val="14"/>
        </w:num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A reintegration meeting with the pupil and family.</w:t>
      </w:r>
    </w:p>
    <w:p w14:paraId="4F38A742" w14:textId="77777777" w:rsidR="00772CB3" w:rsidRPr="00772CB3" w:rsidRDefault="00772CB3" w:rsidP="00772CB3">
      <w:pPr>
        <w:numPr>
          <w:ilvl w:val="0"/>
          <w:numId w:val="14"/>
        </w:num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Reviewing and adapting support plans.</w:t>
      </w:r>
    </w:p>
    <w:p w14:paraId="4B7574BB" w14:textId="77777777" w:rsidR="00772CB3" w:rsidRPr="00772CB3" w:rsidRDefault="00772CB3" w:rsidP="00772CB3">
      <w:pPr>
        <w:numPr>
          <w:ilvl w:val="0"/>
          <w:numId w:val="14"/>
        </w:num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Updating risk assessments.</w:t>
      </w:r>
    </w:p>
    <w:p w14:paraId="35A139FE" w14:textId="01C7CC6A" w:rsidR="002E6769" w:rsidRPr="002E6769" w:rsidRDefault="00772CB3" w:rsidP="00772CB3">
      <w:pPr>
        <w:numPr>
          <w:ilvl w:val="0"/>
          <w:numId w:val="14"/>
        </w:num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Ongoing monitoring to ensure needs are met and exclusion does not repeat.</w:t>
      </w:r>
    </w:p>
    <w:p w14:paraId="46045FEC" w14:textId="77777777" w:rsidR="00772CB3" w:rsidRDefault="00772CB3" w:rsidP="00772CB3">
      <w:pPr>
        <w:pStyle w:val="Heading1"/>
      </w:pPr>
      <w:r>
        <w:t xml:space="preserve">Responsibilities of School Staff and Governors </w:t>
      </w:r>
    </w:p>
    <w:p w14:paraId="30E0BC00" w14:textId="77777777" w:rsidR="00772CB3" w:rsidRPr="00772CB3" w:rsidRDefault="00772CB3" w:rsidP="00772CB3">
      <w:p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Staff must:</w:t>
      </w:r>
    </w:p>
    <w:p w14:paraId="3899089E" w14:textId="77777777" w:rsidR="00772CB3" w:rsidRPr="00772CB3" w:rsidRDefault="00772CB3" w:rsidP="00772CB3">
      <w:pPr>
        <w:numPr>
          <w:ilvl w:val="0"/>
          <w:numId w:val="15"/>
        </w:num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Implement and evaluate reasonable adjustments.</w:t>
      </w:r>
    </w:p>
    <w:p w14:paraId="61EC6D36" w14:textId="77777777" w:rsidR="00772CB3" w:rsidRPr="00772CB3" w:rsidRDefault="00772CB3" w:rsidP="00772CB3">
      <w:pPr>
        <w:numPr>
          <w:ilvl w:val="0"/>
          <w:numId w:val="15"/>
        </w:num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Review EHCPs/One Plans.</w:t>
      </w:r>
    </w:p>
    <w:p w14:paraId="4626AC53" w14:textId="77777777" w:rsidR="00772CB3" w:rsidRPr="00772CB3" w:rsidRDefault="00772CB3" w:rsidP="00772CB3">
      <w:pPr>
        <w:numPr>
          <w:ilvl w:val="0"/>
          <w:numId w:val="15"/>
        </w:num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Document intervention and reasoning thoroughly.</w:t>
      </w:r>
    </w:p>
    <w:p w14:paraId="54ADC1B8" w14:textId="77777777" w:rsidR="00772CB3" w:rsidRPr="00772CB3" w:rsidRDefault="00772CB3" w:rsidP="00772CB3">
      <w:p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Governors must:</w:t>
      </w:r>
    </w:p>
    <w:p w14:paraId="28ED9A52" w14:textId="77777777" w:rsidR="00772CB3" w:rsidRPr="00772CB3" w:rsidRDefault="00772CB3" w:rsidP="00772CB3">
      <w:pPr>
        <w:numPr>
          <w:ilvl w:val="0"/>
          <w:numId w:val="16"/>
        </w:num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Ensure behaviour and SEND policies align with statutory duties.</w:t>
      </w:r>
    </w:p>
    <w:p w14:paraId="3E45F389" w14:textId="77777777" w:rsidR="00772CB3" w:rsidRPr="00772CB3" w:rsidRDefault="00772CB3" w:rsidP="00772CB3">
      <w:pPr>
        <w:numPr>
          <w:ilvl w:val="0"/>
          <w:numId w:val="16"/>
        </w:num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Scrutinise exclusion data for disproportionality.</w:t>
      </w:r>
    </w:p>
    <w:p w14:paraId="1C9CAE02" w14:textId="77777777" w:rsidR="00772CB3" w:rsidRPr="00772CB3" w:rsidRDefault="00772CB3" w:rsidP="00772CB3">
      <w:pPr>
        <w:numPr>
          <w:ilvl w:val="0"/>
          <w:numId w:val="16"/>
        </w:num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Provide challenge where exclusions may be inappropriate.</w:t>
      </w:r>
    </w:p>
    <w:p w14:paraId="41CC3108" w14:textId="77777777" w:rsidR="00772CB3" w:rsidRPr="00772CB3" w:rsidRDefault="00772CB3" w:rsidP="00772CB3">
      <w:pPr>
        <w:numPr>
          <w:ilvl w:val="0"/>
          <w:numId w:val="16"/>
        </w:num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Ensure training and pupil voice are embedded in practice.</w:t>
      </w:r>
    </w:p>
    <w:p w14:paraId="5181E37C" w14:textId="77777777" w:rsidR="00772CB3" w:rsidRPr="00772CB3" w:rsidRDefault="00772CB3" w:rsidP="00772CB3"/>
    <w:p w14:paraId="3B5DE155" w14:textId="1B9A44E2" w:rsidR="002E6769" w:rsidRPr="002E6769" w:rsidRDefault="00772CB3" w:rsidP="002E6769">
      <w:pPr>
        <w:pStyle w:val="Heading1"/>
        <w:spacing w:after="0"/>
      </w:pPr>
      <w:r>
        <w:lastRenderedPageBreak/>
        <w:t xml:space="preserve">Final Commitment </w:t>
      </w:r>
    </w:p>
    <w:p w14:paraId="62CD4CA0" w14:textId="77777777" w:rsidR="00772CB3" w:rsidRPr="00772CB3" w:rsidRDefault="00772CB3" w:rsidP="00772CB3">
      <w:pPr>
        <w:spacing w:before="100" w:beforeAutospacing="1" w:after="100" w:afterAutospacing="1" w:line="300" w:lineRule="atLeast"/>
        <w:rPr>
          <w:rFonts w:eastAsia="Times New Roman" w:cs="Segoe UI"/>
          <w:szCs w:val="24"/>
          <w:lang w:eastAsia="en-GB"/>
        </w:rPr>
      </w:pPr>
      <w:r w:rsidRPr="00772CB3">
        <w:rPr>
          <w:rFonts w:eastAsia="Times New Roman" w:cs="Segoe UI"/>
          <w:szCs w:val="24"/>
          <w:lang w:eastAsia="en-GB"/>
        </w:rPr>
        <w:t>Essex commits to ensuring no pupil—particularly those with SEND—is suspended or excluded under the DB code where behaviour reflects unmet or unassessed need. Through statutory compliance, TPP and strengthened multi</w:t>
      </w:r>
      <w:r w:rsidRPr="00772CB3">
        <w:rPr>
          <w:rFonts w:eastAsia="Times New Roman" w:cs="Segoe UI"/>
          <w:szCs w:val="24"/>
          <w:lang w:eastAsia="en-GB"/>
        </w:rPr>
        <w:noBreakHyphen/>
        <w:t>agency collaboration, the goal is to ensure suspension or permanent exclusion decisions are fair, proportionate and used only when all other avenues have been exhausted.</w:t>
      </w:r>
    </w:p>
    <w:p w14:paraId="79016EC3" w14:textId="77777777" w:rsidR="00772CB3" w:rsidRPr="00772CB3" w:rsidRDefault="00772CB3" w:rsidP="00772CB3">
      <w:pPr>
        <w:jc w:val="center"/>
        <w:rPr>
          <w:i/>
          <w:iCs/>
          <w:szCs w:val="24"/>
        </w:rPr>
      </w:pPr>
      <w:r w:rsidRPr="00772CB3">
        <w:rPr>
          <w:i/>
          <w:iCs/>
          <w:szCs w:val="24"/>
        </w:rPr>
        <w:t>“This is not a radical call for the abolition of exclusions; it is simply an opportunity to reflect on the process and the concept of exclusions and to ask ourselves whether they are really necessary”</w:t>
      </w:r>
    </w:p>
    <w:p w14:paraId="47032A79" w14:textId="77777777" w:rsidR="00772CB3" w:rsidRPr="00772CB3" w:rsidRDefault="00772CB3" w:rsidP="00772CB3">
      <w:pPr>
        <w:ind w:left="720"/>
        <w:jc w:val="center"/>
        <w:rPr>
          <w:i/>
          <w:iCs/>
          <w:szCs w:val="24"/>
        </w:rPr>
      </w:pPr>
      <w:r w:rsidRPr="00772CB3">
        <w:rPr>
          <w:i/>
          <w:iCs/>
          <w:szCs w:val="24"/>
        </w:rPr>
        <w:t>Dave Whitaker (2021) The Kindness Principle</w:t>
      </w:r>
    </w:p>
    <w:p w14:paraId="5F8132B4" w14:textId="77777777" w:rsidR="00772CB3" w:rsidRPr="00772CB3" w:rsidRDefault="00772CB3" w:rsidP="00772CB3"/>
    <w:p w14:paraId="7A831FEB" w14:textId="77777777" w:rsidR="00772CB3" w:rsidRDefault="00772CB3" w:rsidP="00C9493B">
      <w:pPr>
        <w:pStyle w:val="BodyText2"/>
      </w:pPr>
    </w:p>
    <w:p w14:paraId="05EE0472" w14:textId="5D131E70" w:rsidR="002E6769" w:rsidRPr="002E6769" w:rsidRDefault="00895CFE" w:rsidP="002E6769">
      <w:pPr>
        <w:pStyle w:val="Heading1"/>
      </w:pPr>
      <w:r>
        <w:t xml:space="preserve">Introduction </w:t>
      </w:r>
    </w:p>
    <w:p w14:paraId="430072A6" w14:textId="77777777" w:rsidR="00772CB3" w:rsidRDefault="00895CFE" w:rsidP="00C9493B">
      <w:pPr>
        <w:pStyle w:val="BodyText2"/>
      </w:pPr>
      <w:r w:rsidRPr="00895CFE">
        <w:t>This section outlines the full guidance on the suspension or permanent exclusion of pupils with Special Educational Needs and Disabilities (SEND) in Essex. It expands on the key messages summarised above and provides detailed expectations, statutory responsibilities and recommended practice for schools and settings.</w:t>
      </w:r>
    </w:p>
    <w:p w14:paraId="0B99BD73" w14:textId="4E6A3F81" w:rsidR="002E6769" w:rsidRPr="002E6769" w:rsidRDefault="00772CB3" w:rsidP="002E6769">
      <w:pPr>
        <w:pStyle w:val="Heading1"/>
      </w:pPr>
      <w:r>
        <w:t xml:space="preserve">Statutory and Legal Requirements for Excluding Pupils with SEND  </w:t>
      </w:r>
    </w:p>
    <w:p w14:paraId="1133B69B" w14:textId="77777777" w:rsidR="00772CB3" w:rsidRDefault="00772CB3" w:rsidP="00772CB3">
      <w:r w:rsidRPr="00286346">
        <w:t>Schools are required to work collaboratively with local authorities to ensure that pupils with EHCPs are not unfairly suspended or permanently excluded for behaviours arising from their identified needs. Under the Children and Families Act 2014, schools must make reasonable adjustments for pupils with SEND, and suspension or exclusion where behaviour may be a manifestation of need risks being discriminatory. Local authorities also retain duties to promote inclusive education and ensure fair access to suitable provision. The Local Government Association emphasises the importance of Fair Access Protocols to support vulnerable learners and the need for collaborative approaches between schools to reduce exclusions.</w:t>
      </w:r>
    </w:p>
    <w:p w14:paraId="2B2A4BEB" w14:textId="77777777" w:rsidR="006001D1" w:rsidRPr="00EC24C3" w:rsidRDefault="006001D1" w:rsidP="00772CB3">
      <w:pPr>
        <w:rPr>
          <w:color w:val="7F7F7F" w:themeColor="text2" w:themeTint="80"/>
        </w:rPr>
      </w:pPr>
    </w:p>
    <w:p w14:paraId="07F10A84" w14:textId="77777777" w:rsidR="00772CB3" w:rsidRDefault="00772CB3" w:rsidP="00772CB3">
      <w:r w:rsidRPr="00286346">
        <w:t>For pupils with an EHC plan, early engagement with the local authority is essential, including consideration of an early multi-disciplinary meeting prior to any permanent exclusion decision. For pupils with SEND but without an EHC plan, schools should review existing support with external specialists and determine whether further intervention or an EHC needs assessment is warranted. Suspension or exclusion must only be used as a last resort, once all reasonable adjustments, interventions and support strategies have been thoroughly explored and implemented.</w:t>
      </w:r>
    </w:p>
    <w:p w14:paraId="2D57DF50" w14:textId="77777777" w:rsidR="006001D1" w:rsidRPr="00286346" w:rsidRDefault="006001D1" w:rsidP="00772CB3"/>
    <w:p w14:paraId="452D28E5" w14:textId="77777777" w:rsidR="00895CFE" w:rsidRDefault="00772CB3" w:rsidP="00772CB3">
      <w:r w:rsidRPr="00286346">
        <w:t xml:space="preserve">Suspensions and exclusions </w:t>
      </w:r>
      <w:r w:rsidRPr="00C001E3">
        <w:t xml:space="preserve">for pupils with Special Educational Needs and Disabilities (SEND) must be managed in full compliance with statutory duties and the Department for Education’s requirements. Schools and governing boards must use their best endeavours to secure appropriate provision, implement reasonable adjustments, and have due regard to the SEND Code of Practice when considering any exclusion. Where concerns arise about the </w:t>
      </w:r>
      <w:r w:rsidRPr="00C001E3">
        <w:lastRenderedPageBreak/>
        <w:t>behaviour of a pupil with SEND, a disability or an Education, Health and Care (EHC) plan, schools are expected to work with relevant professionals, including the local authority, to assess the adequacy of current provision and identify any required adjustments or alternative arrangements.</w:t>
      </w:r>
    </w:p>
    <w:p w14:paraId="38F3DFB5" w14:textId="68F9B38E" w:rsidR="002E6769" w:rsidRPr="002E6769" w:rsidRDefault="00895CFE" w:rsidP="002E6769">
      <w:pPr>
        <w:pStyle w:val="Heading1"/>
      </w:pPr>
      <w:r>
        <w:t xml:space="preserve">Our Ambition in Essex  </w:t>
      </w:r>
    </w:p>
    <w:p w14:paraId="78222782" w14:textId="77777777" w:rsidR="00895CFE" w:rsidRDefault="00895CFE" w:rsidP="00895CFE">
      <w:r w:rsidRPr="00AF5DC1">
        <w:t xml:space="preserve">In Essex, we are committed to reducing </w:t>
      </w:r>
      <w:r w:rsidRPr="00286346">
        <w:t xml:space="preserve">suspensions and </w:t>
      </w:r>
      <w:r w:rsidRPr="00AF5DC1">
        <w:t>exclusions recorded under ‘persistent or general disruptive behaviour’ (code DB), with an initial focus on pupils with EHCPs.</w:t>
      </w:r>
    </w:p>
    <w:p w14:paraId="7B21E10A" w14:textId="77777777" w:rsidR="006001D1" w:rsidRPr="00AF5DC1" w:rsidRDefault="006001D1" w:rsidP="00895CFE"/>
    <w:p w14:paraId="5152ADEC" w14:textId="77777777" w:rsidR="00895CFE" w:rsidRPr="00AF5DC1" w:rsidRDefault="00895CFE" w:rsidP="00895CFE">
      <w:r w:rsidRPr="00AF5DC1">
        <w:t>Trauma Perceptive Practice (TPP), Essex’s values</w:t>
      </w:r>
      <w:r w:rsidRPr="00AF5DC1">
        <w:noBreakHyphen/>
        <w:t xml:space="preserve">led </w:t>
      </w:r>
      <w:r>
        <w:t>and</w:t>
      </w:r>
      <w:r w:rsidRPr="007B06FC">
        <w:rPr>
          <w:color w:val="7F7F7F" w:themeColor="text2" w:themeTint="80"/>
        </w:rPr>
        <w:t xml:space="preserve"> </w:t>
      </w:r>
      <w:r w:rsidRPr="00286346">
        <w:t xml:space="preserve">relationships first </w:t>
      </w:r>
      <w:r w:rsidRPr="00AF5DC1">
        <w:t>behaviour framework, underpins our SEND approaches. TPP views behaviour as a communication of unmet need. Therefore, ‘persistent disruptive behaviour’ seldom provides a meaningful description of underlying issues for children with SEND.</w:t>
      </w:r>
    </w:p>
    <w:p w14:paraId="6BE70EC6" w14:textId="77777777" w:rsidR="00895CFE" w:rsidRDefault="00895CFE" w:rsidP="00895CFE">
      <w:r w:rsidRPr="00AF5DC1">
        <w:t>The terminology is itself ambiguous:</w:t>
      </w:r>
    </w:p>
    <w:p w14:paraId="1A2EAC2E" w14:textId="77777777" w:rsidR="00895CFE" w:rsidRPr="00AF5DC1" w:rsidRDefault="00895CFE" w:rsidP="00895CFE"/>
    <w:p w14:paraId="0B902A12" w14:textId="77777777" w:rsidR="00895CFE" w:rsidRPr="00AF5DC1" w:rsidRDefault="00895CFE" w:rsidP="00895CFE">
      <w:pPr>
        <w:numPr>
          <w:ilvl w:val="0"/>
          <w:numId w:val="17"/>
        </w:numPr>
        <w:spacing w:after="160" w:line="259" w:lineRule="auto"/>
      </w:pPr>
      <w:r w:rsidRPr="00AF5DC1">
        <w:t>What does “persistent” mean—daily, weekly, contextual?</w:t>
      </w:r>
    </w:p>
    <w:p w14:paraId="34AAA159" w14:textId="77777777" w:rsidR="00895CFE" w:rsidRPr="00AF5DC1" w:rsidRDefault="00895CFE" w:rsidP="00895CFE">
      <w:pPr>
        <w:numPr>
          <w:ilvl w:val="0"/>
          <w:numId w:val="17"/>
        </w:numPr>
        <w:spacing w:after="160" w:line="259" w:lineRule="auto"/>
      </w:pPr>
      <w:r w:rsidRPr="00AF5DC1">
        <w:t>What counts as “disruptive”? Behaviours may range from interrupting teaching through anxiety to verbal or physical aggression.</w:t>
      </w:r>
    </w:p>
    <w:p w14:paraId="10FC9EA3" w14:textId="77777777" w:rsidR="00895CFE" w:rsidRDefault="00895CFE" w:rsidP="00772CB3">
      <w:r w:rsidRPr="00AF5DC1">
        <w:t>These ambiguities demonstrate why careful assessment, multi</w:t>
      </w:r>
      <w:r w:rsidRPr="00AF5DC1">
        <w:noBreakHyphen/>
        <w:t>agency involvement and detailed consideration of unmet need are essential before any exclusion decision is made.</w:t>
      </w:r>
    </w:p>
    <w:p w14:paraId="566887B8" w14:textId="0D2EE2F7" w:rsidR="002E6769" w:rsidRPr="002E6769" w:rsidRDefault="00895CFE" w:rsidP="002E6769">
      <w:pPr>
        <w:pStyle w:val="Heading1"/>
      </w:pPr>
      <w:r>
        <w:t xml:space="preserve">Clarifying the use of Code DB </w:t>
      </w:r>
    </w:p>
    <w:p w14:paraId="3689C1A2" w14:textId="77777777" w:rsidR="00895CFE" w:rsidRPr="00AF5DC1" w:rsidRDefault="00895CFE" w:rsidP="00895CFE">
      <w:r w:rsidRPr="00AF5DC1">
        <w:t>The category is broad and inconsistently interpreted. The purpose of this section is to improve consistency and prevent inappropriate use, particularly for pupils with SEND.</w:t>
      </w:r>
    </w:p>
    <w:p w14:paraId="5DD6361F" w14:textId="77777777" w:rsidR="00895CFE" w:rsidRDefault="00895CFE" w:rsidP="00895CFE">
      <w:pPr>
        <w:rPr>
          <w:b/>
          <w:bCs/>
        </w:rPr>
      </w:pPr>
    </w:p>
    <w:p w14:paraId="7DE72E08" w14:textId="77777777" w:rsidR="00895CFE" w:rsidRPr="00D445FB" w:rsidRDefault="00895CFE" w:rsidP="00895CFE">
      <w:pPr>
        <w:pStyle w:val="Heading3"/>
      </w:pPr>
      <w:r>
        <w:t xml:space="preserve">Behaviours that Should Not Fall Under DB </w:t>
      </w:r>
    </w:p>
    <w:p w14:paraId="28DDE2E4" w14:textId="77777777" w:rsidR="00895CFE" w:rsidRPr="00AF5DC1" w:rsidRDefault="00895CFE" w:rsidP="00895CFE">
      <w:r w:rsidRPr="00AF5DC1">
        <w:t>These behaviours usually reflect anxiety, sensory distress, communication difficulty, trauma or unmet SEND needs. Exclusion is not appropriate; provision and adjustments must be reviewed.</w:t>
      </w:r>
    </w:p>
    <w:p w14:paraId="63561393" w14:textId="77777777" w:rsidR="00895CFE" w:rsidRPr="00AF5DC1" w:rsidRDefault="00895CFE" w:rsidP="00895CFE">
      <w:pPr>
        <w:numPr>
          <w:ilvl w:val="0"/>
          <w:numId w:val="18"/>
        </w:numPr>
        <w:spacing w:after="160" w:line="259" w:lineRule="auto"/>
      </w:pPr>
      <w:r w:rsidRPr="00AF5DC1">
        <w:t>Repeated calling out due to anxiety, sensory overload or communication needs</w:t>
      </w:r>
    </w:p>
    <w:p w14:paraId="7839EAEE" w14:textId="77777777" w:rsidR="00895CFE" w:rsidRPr="00AF5DC1" w:rsidRDefault="00895CFE" w:rsidP="00895CFE">
      <w:pPr>
        <w:numPr>
          <w:ilvl w:val="0"/>
          <w:numId w:val="18"/>
        </w:numPr>
        <w:spacing w:after="160" w:line="259" w:lineRule="auto"/>
      </w:pPr>
      <w:r w:rsidRPr="00AF5DC1">
        <w:t>Leaving the classroom when overwhelmed</w:t>
      </w:r>
    </w:p>
    <w:p w14:paraId="60F6A851" w14:textId="77777777" w:rsidR="00895CFE" w:rsidRPr="00AF5DC1" w:rsidRDefault="00895CFE" w:rsidP="00895CFE">
      <w:pPr>
        <w:numPr>
          <w:ilvl w:val="0"/>
          <w:numId w:val="18"/>
        </w:numPr>
        <w:spacing w:after="160" w:line="259" w:lineRule="auto"/>
      </w:pPr>
      <w:r w:rsidRPr="00AF5DC1">
        <w:t>Emotional dysregulation linked to unmet emotional or sensory needs</w:t>
      </w:r>
    </w:p>
    <w:p w14:paraId="71A40F01" w14:textId="77777777" w:rsidR="00895CFE" w:rsidRPr="00AF5DC1" w:rsidRDefault="00895CFE" w:rsidP="00895CFE">
      <w:pPr>
        <w:numPr>
          <w:ilvl w:val="0"/>
          <w:numId w:val="18"/>
        </w:numPr>
        <w:spacing w:after="160" w:line="259" w:lineRule="auto"/>
      </w:pPr>
      <w:r w:rsidRPr="00AF5DC1">
        <w:t>Low</w:t>
      </w:r>
      <w:r w:rsidRPr="00AF5DC1">
        <w:noBreakHyphen/>
        <w:t>level behaviours during transitions or unstructured times associated with SEND</w:t>
      </w:r>
    </w:p>
    <w:p w14:paraId="3DE08290" w14:textId="77777777" w:rsidR="00895CFE" w:rsidRPr="00AF5DC1" w:rsidRDefault="00895CFE" w:rsidP="00895CFE">
      <w:pPr>
        <w:numPr>
          <w:ilvl w:val="0"/>
          <w:numId w:val="18"/>
        </w:numPr>
        <w:spacing w:after="160" w:line="259" w:lineRule="auto"/>
      </w:pPr>
      <w:r w:rsidRPr="00AF5DC1">
        <w:t>Reactions linked to trauma, attachment needs or difficulty understanding instructions</w:t>
      </w:r>
    </w:p>
    <w:p w14:paraId="68FDA90C" w14:textId="77777777" w:rsidR="00895CFE" w:rsidRPr="00AF5DC1" w:rsidRDefault="00895CFE" w:rsidP="00895CFE">
      <w:pPr>
        <w:numPr>
          <w:ilvl w:val="0"/>
          <w:numId w:val="18"/>
        </w:numPr>
        <w:spacing w:after="160" w:line="259" w:lineRule="auto"/>
      </w:pPr>
      <w:r w:rsidRPr="00AF5DC1">
        <w:t>Behaviour occurring because reasonable adjustments or planned support were not implemented</w:t>
      </w:r>
    </w:p>
    <w:p w14:paraId="664B3049" w14:textId="77777777" w:rsidR="00895CFE" w:rsidRDefault="00895CFE" w:rsidP="00895CFE">
      <w:pPr>
        <w:rPr>
          <w:color w:val="FF0000"/>
        </w:rPr>
      </w:pPr>
      <w:r w:rsidRPr="00AF5DC1">
        <w:t>These are manifestations of need, not wilful disruption, and must not be recorded under DB.</w:t>
      </w:r>
      <w:r w:rsidRPr="00045E0F">
        <w:rPr>
          <w:color w:val="FF0000"/>
        </w:rPr>
        <w:t xml:space="preserve"> </w:t>
      </w:r>
    </w:p>
    <w:p w14:paraId="6D88552E" w14:textId="77777777" w:rsidR="00BE18B2" w:rsidRDefault="00BE18B2" w:rsidP="00895CFE">
      <w:pPr>
        <w:rPr>
          <w:color w:val="FF0000"/>
        </w:rPr>
      </w:pPr>
    </w:p>
    <w:p w14:paraId="2238BECC" w14:textId="77777777" w:rsidR="00BE18B2" w:rsidRPr="00D445FB" w:rsidRDefault="00BE18B2" w:rsidP="00BE18B2">
      <w:pPr>
        <w:pStyle w:val="Heading3"/>
      </w:pPr>
      <w:r>
        <w:lastRenderedPageBreak/>
        <w:t xml:space="preserve">Behaviours that May Fall Under DB </w:t>
      </w:r>
    </w:p>
    <w:p w14:paraId="75FC5FF6" w14:textId="77777777" w:rsidR="00895CFE" w:rsidRPr="00111E24" w:rsidRDefault="00895CFE" w:rsidP="00895CFE">
      <w:pPr>
        <w:rPr>
          <w:szCs w:val="24"/>
        </w:rPr>
      </w:pPr>
      <w:r w:rsidRPr="00111E24">
        <w:rPr>
          <w:szCs w:val="24"/>
        </w:rPr>
        <w:t>DB may be used only where the school can evidence all of the following:</w:t>
      </w:r>
    </w:p>
    <w:p w14:paraId="6DFA67FC" w14:textId="77777777" w:rsidR="00895CFE" w:rsidRPr="00111E24" w:rsidRDefault="00895CFE" w:rsidP="00895CFE">
      <w:pPr>
        <w:rPr>
          <w:szCs w:val="24"/>
        </w:rPr>
      </w:pPr>
    </w:p>
    <w:p w14:paraId="3A74260F" w14:textId="77777777" w:rsidR="00895CFE" w:rsidRPr="00111E24" w:rsidRDefault="00895CFE" w:rsidP="00895CFE">
      <w:pPr>
        <w:pStyle w:val="ListParagraph"/>
        <w:numPr>
          <w:ilvl w:val="0"/>
          <w:numId w:val="20"/>
        </w:numPr>
        <w:rPr>
          <w:sz w:val="24"/>
          <w:szCs w:val="24"/>
        </w:rPr>
      </w:pPr>
      <w:r w:rsidRPr="00111E24">
        <w:rPr>
          <w:sz w:val="24"/>
          <w:szCs w:val="24"/>
        </w:rPr>
        <w:t>Reasonable adjustments have been made and reviewed</w:t>
      </w:r>
    </w:p>
    <w:p w14:paraId="14E4DC80" w14:textId="77777777" w:rsidR="00895CFE" w:rsidRPr="00111E24" w:rsidRDefault="00895CFE" w:rsidP="00895CFE">
      <w:pPr>
        <w:pStyle w:val="ListParagraph"/>
        <w:numPr>
          <w:ilvl w:val="0"/>
          <w:numId w:val="20"/>
        </w:numPr>
        <w:rPr>
          <w:sz w:val="24"/>
          <w:szCs w:val="24"/>
        </w:rPr>
      </w:pPr>
      <w:r w:rsidRPr="00111E24">
        <w:rPr>
          <w:sz w:val="24"/>
          <w:szCs w:val="24"/>
        </w:rPr>
        <w:t>Evidence</w:t>
      </w:r>
      <w:r w:rsidRPr="00111E24">
        <w:rPr>
          <w:sz w:val="24"/>
          <w:szCs w:val="24"/>
        </w:rPr>
        <w:noBreakHyphen/>
        <w:t>based strategies have been implemented</w:t>
      </w:r>
    </w:p>
    <w:p w14:paraId="2AEBE62E" w14:textId="77777777" w:rsidR="00895CFE" w:rsidRPr="00111E24" w:rsidRDefault="00895CFE" w:rsidP="00895CFE">
      <w:pPr>
        <w:pStyle w:val="ListParagraph"/>
        <w:numPr>
          <w:ilvl w:val="0"/>
          <w:numId w:val="20"/>
        </w:numPr>
        <w:rPr>
          <w:sz w:val="24"/>
          <w:szCs w:val="24"/>
        </w:rPr>
      </w:pPr>
      <w:r w:rsidRPr="00111E24">
        <w:rPr>
          <w:sz w:val="24"/>
          <w:szCs w:val="24"/>
        </w:rPr>
        <w:t xml:space="preserve">The behaviour is </w:t>
      </w:r>
      <w:r w:rsidRPr="00111E24">
        <w:rPr>
          <w:b/>
          <w:bCs/>
          <w:sz w:val="24"/>
          <w:szCs w:val="24"/>
        </w:rPr>
        <w:t>not linked</w:t>
      </w:r>
      <w:r w:rsidRPr="00111E24">
        <w:rPr>
          <w:sz w:val="24"/>
          <w:szCs w:val="24"/>
        </w:rPr>
        <w:t xml:space="preserve"> to identified or emerging SEND needs</w:t>
      </w:r>
    </w:p>
    <w:p w14:paraId="36EA37B9" w14:textId="77777777" w:rsidR="00895CFE" w:rsidRPr="00111E24" w:rsidRDefault="00895CFE" w:rsidP="00895CFE">
      <w:pPr>
        <w:rPr>
          <w:szCs w:val="24"/>
        </w:rPr>
      </w:pPr>
      <w:r w:rsidRPr="00111E24">
        <w:rPr>
          <w:szCs w:val="24"/>
        </w:rPr>
        <w:t>Examples may include:</w:t>
      </w:r>
    </w:p>
    <w:p w14:paraId="526872D9" w14:textId="77777777" w:rsidR="00895CFE" w:rsidRPr="00111E24" w:rsidRDefault="00895CFE" w:rsidP="00895CFE">
      <w:pPr>
        <w:numPr>
          <w:ilvl w:val="0"/>
          <w:numId w:val="19"/>
        </w:numPr>
        <w:spacing w:after="160" w:line="259" w:lineRule="auto"/>
        <w:rPr>
          <w:szCs w:val="24"/>
        </w:rPr>
      </w:pPr>
      <w:r w:rsidRPr="00111E24">
        <w:rPr>
          <w:szCs w:val="24"/>
        </w:rPr>
        <w:t>Deliberate, sustained disruption unrelated to SEND</w:t>
      </w:r>
    </w:p>
    <w:p w14:paraId="0C0AC2FB" w14:textId="77777777" w:rsidR="00895CFE" w:rsidRPr="00111E24" w:rsidRDefault="00895CFE" w:rsidP="00895CFE">
      <w:pPr>
        <w:numPr>
          <w:ilvl w:val="0"/>
          <w:numId w:val="19"/>
        </w:numPr>
        <w:spacing w:after="160" w:line="259" w:lineRule="auto"/>
        <w:rPr>
          <w:szCs w:val="24"/>
        </w:rPr>
      </w:pPr>
      <w:r w:rsidRPr="00111E24">
        <w:rPr>
          <w:szCs w:val="24"/>
        </w:rPr>
        <w:t>Refusal to follow instructions in a way that intentionally undermines safety or learning</w:t>
      </w:r>
    </w:p>
    <w:p w14:paraId="13E6C9FD" w14:textId="77777777" w:rsidR="00895CFE" w:rsidRPr="00111E24" w:rsidRDefault="00895CFE" w:rsidP="00895CFE">
      <w:pPr>
        <w:numPr>
          <w:ilvl w:val="0"/>
          <w:numId w:val="19"/>
        </w:numPr>
        <w:spacing w:after="160" w:line="259" w:lineRule="auto"/>
        <w:rPr>
          <w:szCs w:val="24"/>
        </w:rPr>
      </w:pPr>
      <w:r w:rsidRPr="00111E24">
        <w:rPr>
          <w:szCs w:val="24"/>
        </w:rPr>
        <w:t>Repeated interference with lessons despite personalised support</w:t>
      </w:r>
    </w:p>
    <w:p w14:paraId="17DFA83C" w14:textId="77777777" w:rsidR="00895CFE" w:rsidRPr="00111E24" w:rsidRDefault="00895CFE" w:rsidP="00895CFE">
      <w:pPr>
        <w:numPr>
          <w:ilvl w:val="0"/>
          <w:numId w:val="19"/>
        </w:numPr>
        <w:spacing w:after="160" w:line="259" w:lineRule="auto"/>
        <w:rPr>
          <w:szCs w:val="24"/>
        </w:rPr>
      </w:pPr>
      <w:r w:rsidRPr="00111E24">
        <w:rPr>
          <w:szCs w:val="24"/>
        </w:rPr>
        <w:t>Persistent, intentional behaviour designed to incite conflict</w:t>
      </w:r>
    </w:p>
    <w:p w14:paraId="7A45B78C" w14:textId="77777777" w:rsidR="00895CFE" w:rsidRDefault="00895CFE" w:rsidP="00895CFE">
      <w:pPr>
        <w:rPr>
          <w:szCs w:val="24"/>
        </w:rPr>
      </w:pPr>
      <w:r w:rsidRPr="00111E24">
        <w:rPr>
          <w:szCs w:val="24"/>
        </w:rPr>
        <w:t xml:space="preserve">These examples apply only where needs have been met, and behaviour seems to be indicating a choice. </w:t>
      </w:r>
    </w:p>
    <w:p w14:paraId="23D40895" w14:textId="77777777" w:rsidR="006001D1" w:rsidRPr="00111E24" w:rsidRDefault="006001D1" w:rsidP="00895CFE">
      <w:pPr>
        <w:rPr>
          <w:color w:val="FF0000"/>
          <w:szCs w:val="24"/>
        </w:rPr>
      </w:pPr>
    </w:p>
    <w:p w14:paraId="5F9F6713" w14:textId="77777777" w:rsidR="00895CFE" w:rsidRPr="00111E24" w:rsidRDefault="00895CFE" w:rsidP="00895CFE">
      <w:pPr>
        <w:rPr>
          <w:szCs w:val="24"/>
        </w:rPr>
      </w:pPr>
      <w:r w:rsidRPr="00111E24">
        <w:rPr>
          <w:szCs w:val="24"/>
        </w:rPr>
        <w:t>Even when it seems that behaviour is ‘purposeful’ it can be very helpful to understand the cause for conflict (what might be driving emotions and feelings). This will help to deal with it in a relational way. Causes might be explained by children seeking revenge, power-seeking or attention needing.</w:t>
      </w:r>
    </w:p>
    <w:p w14:paraId="01422F6E" w14:textId="77777777" w:rsidR="00895CFE" w:rsidRDefault="00895CFE" w:rsidP="00772CB3"/>
    <w:p w14:paraId="6322352C" w14:textId="77777777" w:rsidR="00BE18B2" w:rsidRDefault="00BE18B2" w:rsidP="00BE18B2">
      <w:pPr>
        <w:pStyle w:val="Heading3"/>
      </w:pPr>
      <w:r>
        <w:t xml:space="preserve">When the DB Code Is Not Appropriate </w:t>
      </w:r>
    </w:p>
    <w:p w14:paraId="325ECB41" w14:textId="77777777" w:rsidR="00BE18B2" w:rsidRDefault="00BE18B2" w:rsidP="00772CB3">
      <w:r w:rsidRPr="007B5761">
        <w:t>The DB code must not be applied in circumstances where the behaviour may reasonably be attributed to unmet or emerging SEND needs. It is also inappropriate to use DB where the pupil’s EHCP or One Plan has not been properly reviewed, implemented or followed, or where reasonable adjustments have not been put in place. Schools should avoid using DB if another, more specific DfE exclusion code more accurately reflects the incident, or where external professionals have not yet been involved despite indicators of underlying need. The DB code should similarly not be used for behaviours arising from sensory, communication or emotional regulation difficulties.</w:t>
      </w:r>
    </w:p>
    <w:p w14:paraId="22E674DB" w14:textId="77777777" w:rsidR="002E6769" w:rsidRDefault="002E6769" w:rsidP="00772CB3"/>
    <w:p w14:paraId="79A83BA0" w14:textId="76FDFD2A" w:rsidR="00BE18B2" w:rsidRDefault="00BE18B2" w:rsidP="00BE18B2">
      <w:pPr>
        <w:pStyle w:val="Heading1"/>
      </w:pPr>
      <w:r>
        <w:t>TPP Summary of Principles</w:t>
      </w:r>
    </w:p>
    <w:p w14:paraId="4604601C" w14:textId="77777777" w:rsidR="00BE18B2" w:rsidRDefault="00BE18B2" w:rsidP="00BE18B2">
      <w:pPr>
        <w:pStyle w:val="Heading3"/>
      </w:pPr>
      <w:r>
        <w:t xml:space="preserve">TPP is based on: </w:t>
      </w:r>
    </w:p>
    <w:p w14:paraId="30E7FD19" w14:textId="77777777" w:rsidR="00BE18B2" w:rsidRPr="00AF5DC1" w:rsidRDefault="00BE18B2" w:rsidP="008056D0">
      <w:pPr>
        <w:numPr>
          <w:ilvl w:val="0"/>
          <w:numId w:val="21"/>
        </w:numPr>
        <w:spacing w:line="259" w:lineRule="auto"/>
      </w:pPr>
      <w:r w:rsidRPr="00AF5DC1">
        <w:t>Compassion and Kindness – understanding the “why” behind behaviour</w:t>
      </w:r>
    </w:p>
    <w:p w14:paraId="4EE56346" w14:textId="77777777" w:rsidR="00BE18B2" w:rsidRPr="00AF5DC1" w:rsidRDefault="00BE18B2" w:rsidP="008056D0">
      <w:pPr>
        <w:numPr>
          <w:ilvl w:val="0"/>
          <w:numId w:val="21"/>
        </w:numPr>
        <w:spacing w:line="259" w:lineRule="auto"/>
      </w:pPr>
      <w:r w:rsidRPr="00AF5DC1">
        <w:t>Hope – recognising that all children can change and grow</w:t>
      </w:r>
    </w:p>
    <w:p w14:paraId="511E614D" w14:textId="77777777" w:rsidR="00BE18B2" w:rsidRDefault="00BE18B2" w:rsidP="008056D0">
      <w:pPr>
        <w:numPr>
          <w:ilvl w:val="0"/>
          <w:numId w:val="21"/>
        </w:numPr>
        <w:spacing w:line="259" w:lineRule="auto"/>
      </w:pPr>
      <w:r w:rsidRPr="00AF5DC1">
        <w:t>Connection and Belonging – prioritising relationships as the foundation for behaviour support</w:t>
      </w:r>
    </w:p>
    <w:p w14:paraId="32B700B5" w14:textId="77777777" w:rsidR="008056D0" w:rsidRPr="00AF5DC1" w:rsidRDefault="008056D0" w:rsidP="008056D0">
      <w:pPr>
        <w:spacing w:line="259" w:lineRule="auto"/>
        <w:ind w:left="720"/>
      </w:pPr>
    </w:p>
    <w:p w14:paraId="15879DE4" w14:textId="77777777" w:rsidR="00BE18B2" w:rsidRDefault="00BE18B2" w:rsidP="00BE18B2">
      <w:r w:rsidRPr="00AF5DC1">
        <w:t>TPP encourages staff to reflect, regulate, co</w:t>
      </w:r>
      <w:r w:rsidRPr="00AF5DC1">
        <w:noBreakHyphen/>
        <w:t>regulate and respond with empathy.</w:t>
      </w:r>
    </w:p>
    <w:p w14:paraId="0EC10248" w14:textId="77777777" w:rsidR="00BE18B2" w:rsidRDefault="00BE18B2" w:rsidP="00BE18B2"/>
    <w:p w14:paraId="1D813E74" w14:textId="77777777" w:rsidR="00BE18B2" w:rsidRDefault="00BE18B2" w:rsidP="00BE18B2">
      <w:pPr>
        <w:pStyle w:val="Heading3"/>
      </w:pPr>
      <w:r>
        <w:lastRenderedPageBreak/>
        <w:t xml:space="preserve">TPP Aligned Practical Approaches Before Exclusion </w:t>
      </w:r>
    </w:p>
    <w:p w14:paraId="0245A7C2" w14:textId="77777777" w:rsidR="00BE18B2" w:rsidRPr="0000019F" w:rsidRDefault="00BE18B2" w:rsidP="00BE18B2">
      <w:pPr>
        <w:rPr>
          <w:szCs w:val="24"/>
        </w:rPr>
      </w:pPr>
      <w:r w:rsidRPr="0000019F">
        <w:rPr>
          <w:szCs w:val="24"/>
        </w:rPr>
        <w:t>Strategies and consequences should have a clear, logical link to the incident and help the pupil to learn how to behave more appropriately should a similar situation occur again, tailoring this to the needs of the individual.</w:t>
      </w:r>
    </w:p>
    <w:p w14:paraId="4541791F" w14:textId="77777777" w:rsidR="00BE18B2" w:rsidRPr="0000019F" w:rsidRDefault="00BE18B2" w:rsidP="00BE18B2">
      <w:pPr>
        <w:pStyle w:val="ListParagraph"/>
        <w:numPr>
          <w:ilvl w:val="0"/>
          <w:numId w:val="22"/>
        </w:numPr>
        <w:rPr>
          <w:sz w:val="24"/>
          <w:szCs w:val="24"/>
        </w:rPr>
      </w:pPr>
      <w:r w:rsidRPr="0000019F">
        <w:rPr>
          <w:i/>
          <w:iCs/>
          <w:sz w:val="24"/>
          <w:szCs w:val="24"/>
        </w:rPr>
        <w:t>Protective consequences</w:t>
      </w:r>
      <w:r w:rsidRPr="0000019F">
        <w:rPr>
          <w:sz w:val="24"/>
          <w:szCs w:val="24"/>
        </w:rPr>
        <w:t xml:space="preserve"> are required to protect the rights and wellbeing of everyone involved.</w:t>
      </w:r>
    </w:p>
    <w:p w14:paraId="7BD06437" w14:textId="77777777" w:rsidR="00BE18B2" w:rsidRPr="0000019F" w:rsidRDefault="00BE18B2" w:rsidP="00BE18B2">
      <w:pPr>
        <w:pStyle w:val="ListParagraph"/>
        <w:numPr>
          <w:ilvl w:val="0"/>
          <w:numId w:val="22"/>
        </w:numPr>
        <w:rPr>
          <w:sz w:val="24"/>
          <w:szCs w:val="24"/>
        </w:rPr>
      </w:pPr>
      <w:r w:rsidRPr="0000019F">
        <w:rPr>
          <w:i/>
          <w:iCs/>
          <w:sz w:val="24"/>
          <w:szCs w:val="24"/>
        </w:rPr>
        <w:t>Educational consequences</w:t>
      </w:r>
      <w:r w:rsidRPr="0000019F">
        <w:rPr>
          <w:sz w:val="24"/>
          <w:szCs w:val="24"/>
        </w:rPr>
        <w:t xml:space="preserve"> are required to motivate and support the child or young person to do things differently next time. </w:t>
      </w:r>
    </w:p>
    <w:p w14:paraId="04A18D8B" w14:textId="77777777" w:rsidR="00BE18B2" w:rsidRPr="0000019F" w:rsidRDefault="00BE18B2" w:rsidP="00BE18B2">
      <w:pPr>
        <w:rPr>
          <w:szCs w:val="24"/>
        </w:rPr>
      </w:pPr>
      <w:r w:rsidRPr="0000019F">
        <w:rPr>
          <w:szCs w:val="24"/>
        </w:rPr>
        <w:t xml:space="preserve">Whilst it is impossible to provide an exhaustive list of all possible consequences, here are a few examples that demonstrate how to apply education and safety to create logical consequences: </w:t>
      </w:r>
    </w:p>
    <w:p w14:paraId="44BFAED7" w14:textId="77777777" w:rsidR="00BE18B2" w:rsidRPr="0000019F" w:rsidRDefault="00BE18B2" w:rsidP="00BE18B2">
      <w:pPr>
        <w:pStyle w:val="ListParagraph"/>
        <w:numPr>
          <w:ilvl w:val="0"/>
          <w:numId w:val="23"/>
        </w:numPr>
        <w:rPr>
          <w:sz w:val="24"/>
          <w:szCs w:val="24"/>
        </w:rPr>
      </w:pPr>
      <w:r w:rsidRPr="0000019F">
        <w:rPr>
          <w:sz w:val="24"/>
          <w:szCs w:val="24"/>
        </w:rPr>
        <w:t>If a pupil misses learning, they can catch up in their own time.</w:t>
      </w:r>
    </w:p>
    <w:p w14:paraId="08A3416E" w14:textId="77777777" w:rsidR="00BE18B2" w:rsidRPr="0000019F" w:rsidRDefault="00BE18B2" w:rsidP="00BE18B2">
      <w:pPr>
        <w:pStyle w:val="ListParagraph"/>
        <w:numPr>
          <w:ilvl w:val="0"/>
          <w:numId w:val="23"/>
        </w:numPr>
        <w:rPr>
          <w:sz w:val="24"/>
          <w:szCs w:val="24"/>
        </w:rPr>
      </w:pPr>
      <w:r w:rsidRPr="0000019F">
        <w:rPr>
          <w:sz w:val="24"/>
          <w:szCs w:val="24"/>
        </w:rPr>
        <w:t>If a pupil upsets someone else, they can engage in a restorative conversation or offer a sincere apology.</w:t>
      </w:r>
    </w:p>
    <w:p w14:paraId="7A11CBD6" w14:textId="77777777" w:rsidR="00BE18B2" w:rsidRPr="0000019F" w:rsidRDefault="00BE18B2" w:rsidP="00BE18B2">
      <w:pPr>
        <w:pStyle w:val="ListParagraph"/>
        <w:numPr>
          <w:ilvl w:val="0"/>
          <w:numId w:val="23"/>
        </w:numPr>
        <w:rPr>
          <w:sz w:val="24"/>
          <w:szCs w:val="24"/>
        </w:rPr>
      </w:pPr>
      <w:r w:rsidRPr="0000019F">
        <w:rPr>
          <w:sz w:val="24"/>
          <w:szCs w:val="24"/>
        </w:rPr>
        <w:t xml:space="preserve">If a pupil, their peers or the adults would benefit from respite or a change of dynamics, they can move temporarily to another classroom or learning space. </w:t>
      </w:r>
    </w:p>
    <w:p w14:paraId="17C5B766" w14:textId="77777777" w:rsidR="00BE18B2" w:rsidRPr="0000019F" w:rsidRDefault="00BE18B2" w:rsidP="00BE18B2">
      <w:pPr>
        <w:pStyle w:val="ListParagraph"/>
        <w:numPr>
          <w:ilvl w:val="0"/>
          <w:numId w:val="23"/>
        </w:numPr>
        <w:rPr>
          <w:sz w:val="24"/>
          <w:szCs w:val="24"/>
        </w:rPr>
      </w:pPr>
      <w:r w:rsidRPr="0000019F">
        <w:rPr>
          <w:sz w:val="24"/>
          <w:szCs w:val="24"/>
        </w:rPr>
        <w:t>If a pupil damages property or creates a mess, they can help with the repairs and clean up.</w:t>
      </w:r>
    </w:p>
    <w:p w14:paraId="171971D7" w14:textId="77777777" w:rsidR="00BE18B2" w:rsidRPr="0000019F" w:rsidRDefault="00BE18B2" w:rsidP="00BE18B2">
      <w:pPr>
        <w:pStyle w:val="ListParagraph"/>
        <w:numPr>
          <w:ilvl w:val="0"/>
          <w:numId w:val="23"/>
        </w:numPr>
        <w:rPr>
          <w:sz w:val="24"/>
          <w:szCs w:val="24"/>
        </w:rPr>
      </w:pPr>
      <w:r w:rsidRPr="0000019F">
        <w:rPr>
          <w:sz w:val="24"/>
          <w:szCs w:val="24"/>
        </w:rPr>
        <w:t xml:space="preserve">If a pupil finds it difficult to follow the rules and boundaries, their access may be temporarily limited or supervised. </w:t>
      </w:r>
    </w:p>
    <w:p w14:paraId="4630F7E8" w14:textId="77777777" w:rsidR="00BE18B2" w:rsidRPr="0000019F" w:rsidRDefault="00BE18B2" w:rsidP="00BE18B2">
      <w:pPr>
        <w:pStyle w:val="ListParagraph"/>
        <w:numPr>
          <w:ilvl w:val="0"/>
          <w:numId w:val="23"/>
        </w:numPr>
        <w:rPr>
          <w:sz w:val="24"/>
          <w:szCs w:val="24"/>
        </w:rPr>
      </w:pPr>
      <w:r w:rsidRPr="0000019F">
        <w:rPr>
          <w:sz w:val="24"/>
          <w:szCs w:val="24"/>
        </w:rPr>
        <w:t xml:space="preserve">If a pupil lacks the skills required to have handled the situation differently, they can attend an intervention to develop those skills. </w:t>
      </w:r>
    </w:p>
    <w:p w14:paraId="5FA35EF7" w14:textId="77777777" w:rsidR="00BE18B2" w:rsidRDefault="00BE18B2" w:rsidP="00BE18B2">
      <w:pPr>
        <w:pStyle w:val="ListParagraph"/>
        <w:numPr>
          <w:ilvl w:val="0"/>
          <w:numId w:val="23"/>
        </w:numPr>
        <w:rPr>
          <w:sz w:val="24"/>
          <w:szCs w:val="24"/>
        </w:rPr>
      </w:pPr>
      <w:r w:rsidRPr="0000019F">
        <w:rPr>
          <w:sz w:val="24"/>
          <w:szCs w:val="24"/>
        </w:rPr>
        <w:t>If the adults need time to make the necessary adjustments to meet the needs of the pupil going forward, they can be suspended while those changes are put in place.</w:t>
      </w:r>
    </w:p>
    <w:p w14:paraId="7398BC85" w14:textId="77777777" w:rsidR="002E6769" w:rsidRPr="0000019F" w:rsidRDefault="002E6769" w:rsidP="002E6769">
      <w:pPr>
        <w:pStyle w:val="ListParagraph"/>
        <w:rPr>
          <w:sz w:val="24"/>
          <w:szCs w:val="24"/>
        </w:rPr>
      </w:pPr>
    </w:p>
    <w:p w14:paraId="197F01D9" w14:textId="77777777" w:rsidR="00BE18B2" w:rsidRDefault="00BE18B2" w:rsidP="00BE18B2">
      <w:pPr>
        <w:pStyle w:val="Heading1"/>
      </w:pPr>
      <w:r>
        <w:t xml:space="preserve">Use of Alternative Exclusion Codes </w:t>
      </w:r>
    </w:p>
    <w:p w14:paraId="5BB62AD7" w14:textId="76965956" w:rsidR="0000019F" w:rsidRDefault="00BE18B2" w:rsidP="00BE18B2">
      <w:r w:rsidRPr="0047131A">
        <w:t xml:space="preserve">Evidence suggests that exclusions for pupils with EHCPs often correlate with unmet needs or lack of appropriate provision, rather </w:t>
      </w:r>
      <w:r w:rsidRPr="00B16A30">
        <w:t>than disruptive behaviour. Therefore</w:t>
      </w:r>
      <w:r w:rsidRPr="0047131A">
        <w:t>, using the DB code without a thorough review of the EHCP and support strategies may be inappropriate.</w:t>
      </w:r>
      <w:r>
        <w:t xml:space="preserve"> </w:t>
      </w:r>
      <w:r w:rsidRPr="00DD321A">
        <w:t xml:space="preserve">There are 14 </w:t>
      </w:r>
      <w:r>
        <w:t xml:space="preserve">other </w:t>
      </w:r>
      <w:r w:rsidRPr="00DD321A">
        <w:t>codes that describe behaviours which may warrant an exclusion</w:t>
      </w:r>
      <w:r>
        <w:t xml:space="preserve">: </w:t>
      </w:r>
    </w:p>
    <w:p w14:paraId="593C4020" w14:textId="77777777" w:rsidR="0000019F" w:rsidRPr="0000019F" w:rsidRDefault="0000019F" w:rsidP="00BE18B2">
      <w:pPr>
        <w:rPr>
          <w:b/>
          <w:bCs/>
        </w:rPr>
      </w:pPr>
    </w:p>
    <w:tbl>
      <w:tblPr>
        <w:tblStyle w:val="TableGrid"/>
        <w:tblW w:w="0" w:type="auto"/>
        <w:tblLook w:val="04A0" w:firstRow="1" w:lastRow="0" w:firstColumn="1" w:lastColumn="0" w:noHBand="0" w:noVBand="1"/>
      </w:tblPr>
      <w:tblGrid>
        <w:gridCol w:w="2547"/>
        <w:gridCol w:w="6531"/>
      </w:tblGrid>
      <w:tr w:rsidR="0000019F" w:rsidRPr="0000019F" w14:paraId="4A057FEB" w14:textId="77777777" w:rsidTr="0000019F">
        <w:tc>
          <w:tcPr>
            <w:tcW w:w="2547" w:type="dxa"/>
            <w:shd w:val="clear" w:color="auto" w:fill="D9D9D9" w:themeFill="background1" w:themeFillShade="D9"/>
          </w:tcPr>
          <w:p w14:paraId="1707B960" w14:textId="5E9C2244" w:rsidR="0000019F" w:rsidRPr="0000019F" w:rsidRDefault="0000019F" w:rsidP="00BE18B2">
            <w:pPr>
              <w:rPr>
                <w:b/>
                <w:bCs/>
              </w:rPr>
            </w:pPr>
            <w:r w:rsidRPr="0000019F">
              <w:rPr>
                <w:b/>
                <w:bCs/>
              </w:rPr>
              <w:t xml:space="preserve">Code </w:t>
            </w:r>
          </w:p>
        </w:tc>
        <w:tc>
          <w:tcPr>
            <w:tcW w:w="6531" w:type="dxa"/>
            <w:shd w:val="clear" w:color="auto" w:fill="D9D9D9" w:themeFill="background1" w:themeFillShade="D9"/>
          </w:tcPr>
          <w:p w14:paraId="1E5F5325" w14:textId="78A8D45F" w:rsidR="0000019F" w:rsidRPr="0000019F" w:rsidRDefault="0000019F" w:rsidP="00BE18B2">
            <w:pPr>
              <w:rPr>
                <w:b/>
                <w:bCs/>
              </w:rPr>
            </w:pPr>
            <w:r w:rsidRPr="0000019F">
              <w:rPr>
                <w:b/>
                <w:bCs/>
              </w:rPr>
              <w:t xml:space="preserve">Description </w:t>
            </w:r>
          </w:p>
        </w:tc>
      </w:tr>
      <w:tr w:rsidR="0000019F" w14:paraId="7D09878C" w14:textId="77777777" w:rsidTr="0000019F">
        <w:tc>
          <w:tcPr>
            <w:tcW w:w="2547" w:type="dxa"/>
          </w:tcPr>
          <w:p w14:paraId="50092D2B" w14:textId="0D748DE2" w:rsidR="0000019F" w:rsidRDefault="0000019F" w:rsidP="00BE18B2">
            <w:r>
              <w:t>PP</w:t>
            </w:r>
          </w:p>
        </w:tc>
        <w:tc>
          <w:tcPr>
            <w:tcW w:w="6531" w:type="dxa"/>
          </w:tcPr>
          <w:p w14:paraId="0B169973" w14:textId="3D2EAB01" w:rsidR="0000019F" w:rsidRDefault="0000019F" w:rsidP="00BE18B2">
            <w:r>
              <w:t xml:space="preserve">Physical assault against a pupil </w:t>
            </w:r>
          </w:p>
        </w:tc>
      </w:tr>
      <w:tr w:rsidR="0000019F" w14:paraId="5566219B" w14:textId="77777777" w:rsidTr="0000019F">
        <w:tc>
          <w:tcPr>
            <w:tcW w:w="2547" w:type="dxa"/>
          </w:tcPr>
          <w:p w14:paraId="71A1FD98" w14:textId="7E195407" w:rsidR="0000019F" w:rsidRDefault="0000019F" w:rsidP="00BE18B2">
            <w:r>
              <w:t>PA</w:t>
            </w:r>
          </w:p>
        </w:tc>
        <w:tc>
          <w:tcPr>
            <w:tcW w:w="6531" w:type="dxa"/>
          </w:tcPr>
          <w:p w14:paraId="6E8A943F" w14:textId="7E4F2951" w:rsidR="0000019F" w:rsidRDefault="0000019F" w:rsidP="00BE18B2">
            <w:r>
              <w:t xml:space="preserve">Physical assault against an adult </w:t>
            </w:r>
          </w:p>
        </w:tc>
      </w:tr>
      <w:tr w:rsidR="0000019F" w14:paraId="68E6A572" w14:textId="77777777" w:rsidTr="0000019F">
        <w:tc>
          <w:tcPr>
            <w:tcW w:w="2547" w:type="dxa"/>
          </w:tcPr>
          <w:p w14:paraId="3DF8F446" w14:textId="2880D675" w:rsidR="0000019F" w:rsidRDefault="0000019F" w:rsidP="00BE18B2">
            <w:r>
              <w:t>VP</w:t>
            </w:r>
          </w:p>
        </w:tc>
        <w:tc>
          <w:tcPr>
            <w:tcW w:w="6531" w:type="dxa"/>
          </w:tcPr>
          <w:p w14:paraId="12BFF354" w14:textId="537E8CE1" w:rsidR="0000019F" w:rsidRDefault="0000019F" w:rsidP="00BE18B2">
            <w:r>
              <w:t xml:space="preserve">Verbal abuse or threatening behaviour </w:t>
            </w:r>
            <w:r w:rsidRPr="00A67201">
              <w:t>against a pupil</w:t>
            </w:r>
          </w:p>
        </w:tc>
      </w:tr>
      <w:tr w:rsidR="0000019F" w14:paraId="0B3DA345" w14:textId="77777777" w:rsidTr="0000019F">
        <w:tc>
          <w:tcPr>
            <w:tcW w:w="2547" w:type="dxa"/>
          </w:tcPr>
          <w:p w14:paraId="11F6BA62" w14:textId="1DA8F06E" w:rsidR="0000019F" w:rsidRDefault="0000019F" w:rsidP="00BE18B2">
            <w:r>
              <w:t>VA</w:t>
            </w:r>
          </w:p>
        </w:tc>
        <w:tc>
          <w:tcPr>
            <w:tcW w:w="6531" w:type="dxa"/>
          </w:tcPr>
          <w:p w14:paraId="4158EB0A" w14:textId="416D4429" w:rsidR="0000019F" w:rsidRDefault="0000019F" w:rsidP="00BE18B2">
            <w:r w:rsidRPr="0000019F">
              <w:t>Verbal abuse or threatening behaviour against an adult</w:t>
            </w:r>
          </w:p>
        </w:tc>
      </w:tr>
      <w:tr w:rsidR="0000019F" w14:paraId="67EF5B92" w14:textId="77777777" w:rsidTr="0000019F">
        <w:tc>
          <w:tcPr>
            <w:tcW w:w="2547" w:type="dxa"/>
          </w:tcPr>
          <w:p w14:paraId="47A076AA" w14:textId="5549059D" w:rsidR="0000019F" w:rsidRDefault="0000019F" w:rsidP="00BE18B2">
            <w:r>
              <w:t>OW</w:t>
            </w:r>
          </w:p>
        </w:tc>
        <w:tc>
          <w:tcPr>
            <w:tcW w:w="6531" w:type="dxa"/>
          </w:tcPr>
          <w:p w14:paraId="71F53B43" w14:textId="0BF7460D" w:rsidR="0000019F" w:rsidRPr="0000019F" w:rsidRDefault="0000019F" w:rsidP="00BE18B2">
            <w:r w:rsidRPr="0000019F">
              <w:t>Use or threat of use of an offensive weapon or prohibited item</w:t>
            </w:r>
          </w:p>
        </w:tc>
      </w:tr>
      <w:tr w:rsidR="0000019F" w14:paraId="1AEE39CF" w14:textId="77777777" w:rsidTr="0000019F">
        <w:tc>
          <w:tcPr>
            <w:tcW w:w="2547" w:type="dxa"/>
          </w:tcPr>
          <w:p w14:paraId="0755C9BC" w14:textId="57D6C65A" w:rsidR="0000019F" w:rsidRDefault="0000019F" w:rsidP="00BE18B2">
            <w:r>
              <w:t>BU</w:t>
            </w:r>
          </w:p>
        </w:tc>
        <w:tc>
          <w:tcPr>
            <w:tcW w:w="6531" w:type="dxa"/>
          </w:tcPr>
          <w:p w14:paraId="0128F290" w14:textId="058062BB" w:rsidR="0000019F" w:rsidRPr="0000019F" w:rsidRDefault="0000019F" w:rsidP="00BE18B2">
            <w:r>
              <w:t xml:space="preserve">Bullying </w:t>
            </w:r>
          </w:p>
        </w:tc>
      </w:tr>
      <w:tr w:rsidR="0000019F" w14:paraId="02F6357F" w14:textId="77777777" w:rsidTr="0000019F">
        <w:tc>
          <w:tcPr>
            <w:tcW w:w="2547" w:type="dxa"/>
          </w:tcPr>
          <w:p w14:paraId="43C95197" w14:textId="25B61756" w:rsidR="0000019F" w:rsidRDefault="0000019F" w:rsidP="00BE18B2">
            <w:r>
              <w:t xml:space="preserve">RA </w:t>
            </w:r>
          </w:p>
        </w:tc>
        <w:tc>
          <w:tcPr>
            <w:tcW w:w="6531" w:type="dxa"/>
          </w:tcPr>
          <w:p w14:paraId="1D4BE0A7" w14:textId="5F0E9376" w:rsidR="0000019F" w:rsidRDefault="0000019F" w:rsidP="00BE18B2">
            <w:r>
              <w:t xml:space="preserve">Racist abuse </w:t>
            </w:r>
          </w:p>
        </w:tc>
      </w:tr>
      <w:tr w:rsidR="0000019F" w14:paraId="72F2FDD6" w14:textId="77777777" w:rsidTr="0000019F">
        <w:tc>
          <w:tcPr>
            <w:tcW w:w="2547" w:type="dxa"/>
          </w:tcPr>
          <w:p w14:paraId="169D266F" w14:textId="11B69E1D" w:rsidR="0000019F" w:rsidRDefault="0000019F" w:rsidP="00BE18B2">
            <w:r>
              <w:t>LG</w:t>
            </w:r>
          </w:p>
        </w:tc>
        <w:tc>
          <w:tcPr>
            <w:tcW w:w="6531" w:type="dxa"/>
          </w:tcPr>
          <w:p w14:paraId="25D83842" w14:textId="5B48C98A" w:rsidR="0000019F" w:rsidRDefault="0000019F" w:rsidP="00BE18B2">
            <w:r w:rsidRPr="0000019F">
              <w:t>Abuse related to sexual orientation or gender identity</w:t>
            </w:r>
          </w:p>
        </w:tc>
      </w:tr>
      <w:tr w:rsidR="0000019F" w14:paraId="4CBAFE6D" w14:textId="77777777" w:rsidTr="0000019F">
        <w:tc>
          <w:tcPr>
            <w:tcW w:w="2547" w:type="dxa"/>
          </w:tcPr>
          <w:p w14:paraId="3032252D" w14:textId="18A45461" w:rsidR="0000019F" w:rsidRDefault="0000019F" w:rsidP="00BE18B2">
            <w:r>
              <w:t>DS</w:t>
            </w:r>
          </w:p>
        </w:tc>
        <w:tc>
          <w:tcPr>
            <w:tcW w:w="6531" w:type="dxa"/>
          </w:tcPr>
          <w:p w14:paraId="0EC8E9B8" w14:textId="787DE8C7" w:rsidR="0000019F" w:rsidRPr="0000019F" w:rsidRDefault="0000019F" w:rsidP="00BE18B2">
            <w:r w:rsidRPr="0000019F">
              <w:t>Abuse relating to disability</w:t>
            </w:r>
          </w:p>
        </w:tc>
      </w:tr>
      <w:tr w:rsidR="0000019F" w14:paraId="05A0505D" w14:textId="77777777" w:rsidTr="0000019F">
        <w:tc>
          <w:tcPr>
            <w:tcW w:w="2547" w:type="dxa"/>
          </w:tcPr>
          <w:p w14:paraId="2A0EB94F" w14:textId="5F0A15D2" w:rsidR="0000019F" w:rsidRDefault="0000019F" w:rsidP="00BE18B2">
            <w:r>
              <w:t>SM</w:t>
            </w:r>
          </w:p>
        </w:tc>
        <w:tc>
          <w:tcPr>
            <w:tcW w:w="6531" w:type="dxa"/>
          </w:tcPr>
          <w:p w14:paraId="11E7D342" w14:textId="665C309C" w:rsidR="0000019F" w:rsidRPr="0000019F" w:rsidRDefault="0000019F" w:rsidP="00BE18B2">
            <w:r w:rsidRPr="0000019F">
              <w:t>Sexual misconduct</w:t>
            </w:r>
          </w:p>
        </w:tc>
      </w:tr>
      <w:tr w:rsidR="0000019F" w14:paraId="5415C76D" w14:textId="77777777" w:rsidTr="0000019F">
        <w:tc>
          <w:tcPr>
            <w:tcW w:w="2547" w:type="dxa"/>
          </w:tcPr>
          <w:p w14:paraId="14CAA5F3" w14:textId="3DB9FE97" w:rsidR="0000019F" w:rsidRDefault="0000019F" w:rsidP="00BE18B2">
            <w:r>
              <w:lastRenderedPageBreak/>
              <w:t>DA</w:t>
            </w:r>
          </w:p>
        </w:tc>
        <w:tc>
          <w:tcPr>
            <w:tcW w:w="6531" w:type="dxa"/>
          </w:tcPr>
          <w:p w14:paraId="3D4D2874" w14:textId="674D7FA5" w:rsidR="0000019F" w:rsidRPr="0000019F" w:rsidRDefault="0000019F" w:rsidP="00BE18B2">
            <w:r w:rsidRPr="0000019F">
              <w:t>Drug and alcohol related</w:t>
            </w:r>
          </w:p>
        </w:tc>
      </w:tr>
      <w:tr w:rsidR="0000019F" w14:paraId="7E6E28DB" w14:textId="77777777" w:rsidTr="0000019F">
        <w:tc>
          <w:tcPr>
            <w:tcW w:w="2547" w:type="dxa"/>
          </w:tcPr>
          <w:p w14:paraId="00715D21" w14:textId="35C5278A" w:rsidR="0000019F" w:rsidRDefault="0000019F" w:rsidP="00BE18B2">
            <w:r>
              <w:t>DM</w:t>
            </w:r>
          </w:p>
        </w:tc>
        <w:tc>
          <w:tcPr>
            <w:tcW w:w="6531" w:type="dxa"/>
          </w:tcPr>
          <w:p w14:paraId="180E7A15" w14:textId="4287BCD2" w:rsidR="0000019F" w:rsidRPr="0000019F" w:rsidRDefault="0000019F" w:rsidP="00BE18B2">
            <w:r>
              <w:t xml:space="preserve">Damage </w:t>
            </w:r>
          </w:p>
        </w:tc>
      </w:tr>
      <w:tr w:rsidR="0000019F" w14:paraId="283B2D6B" w14:textId="77777777" w:rsidTr="0000019F">
        <w:tc>
          <w:tcPr>
            <w:tcW w:w="2547" w:type="dxa"/>
          </w:tcPr>
          <w:p w14:paraId="4A83D0C0" w14:textId="153E052F" w:rsidR="0000019F" w:rsidRDefault="0000019F" w:rsidP="00BE18B2">
            <w:r>
              <w:t>TH</w:t>
            </w:r>
          </w:p>
        </w:tc>
        <w:tc>
          <w:tcPr>
            <w:tcW w:w="6531" w:type="dxa"/>
          </w:tcPr>
          <w:p w14:paraId="3DEC2B05" w14:textId="7083137B" w:rsidR="0000019F" w:rsidRDefault="0000019F" w:rsidP="00BE18B2">
            <w:r>
              <w:t xml:space="preserve">Theft </w:t>
            </w:r>
          </w:p>
        </w:tc>
      </w:tr>
      <w:tr w:rsidR="0000019F" w14:paraId="0A2C4AC8" w14:textId="77777777" w:rsidTr="0000019F">
        <w:tc>
          <w:tcPr>
            <w:tcW w:w="2547" w:type="dxa"/>
          </w:tcPr>
          <w:p w14:paraId="0F544759" w14:textId="35AA92B4" w:rsidR="0000019F" w:rsidRDefault="0000019F" w:rsidP="00BE18B2">
            <w:r>
              <w:t>MT</w:t>
            </w:r>
          </w:p>
        </w:tc>
        <w:tc>
          <w:tcPr>
            <w:tcW w:w="6531" w:type="dxa"/>
          </w:tcPr>
          <w:p w14:paraId="2F41CB98" w14:textId="59CF5956" w:rsidR="0000019F" w:rsidRDefault="0000019F" w:rsidP="00BE18B2">
            <w:r w:rsidRPr="0000019F">
              <w:t>Inappropriate use of social media or online technology</w:t>
            </w:r>
          </w:p>
        </w:tc>
      </w:tr>
      <w:tr w:rsidR="0000019F" w14:paraId="11BBB9F7" w14:textId="77777777" w:rsidTr="0000019F">
        <w:tc>
          <w:tcPr>
            <w:tcW w:w="2547" w:type="dxa"/>
          </w:tcPr>
          <w:p w14:paraId="0B3AB6EC" w14:textId="30000650" w:rsidR="0000019F" w:rsidRPr="0000019F" w:rsidRDefault="0000019F" w:rsidP="00BE18B2">
            <w:r w:rsidRPr="0000019F">
              <w:t>DB</w:t>
            </w:r>
          </w:p>
        </w:tc>
        <w:tc>
          <w:tcPr>
            <w:tcW w:w="6531" w:type="dxa"/>
          </w:tcPr>
          <w:p w14:paraId="6688308F" w14:textId="014F62D3" w:rsidR="0000019F" w:rsidRPr="0000019F" w:rsidRDefault="0000019F" w:rsidP="0000019F">
            <w:r w:rsidRPr="0000019F">
              <w:t>Persistent or general disruptive behaviou</w:t>
            </w:r>
            <w:r>
              <w:t>r</w:t>
            </w:r>
          </w:p>
        </w:tc>
      </w:tr>
    </w:tbl>
    <w:p w14:paraId="6037CB5E" w14:textId="65F638A1" w:rsidR="00BE18B2" w:rsidRPr="00A67201" w:rsidRDefault="00BE18B2" w:rsidP="0000019F">
      <w:pPr>
        <w:pStyle w:val="ListParagraph"/>
      </w:pPr>
    </w:p>
    <w:p w14:paraId="2FE55A68" w14:textId="0F6911C5" w:rsidR="00BE18B2" w:rsidRDefault="00BE18B2" w:rsidP="00BE18B2">
      <w:r>
        <w:t>For more information on this ethos and approach to exclusions, please access our eLearning:</w:t>
      </w:r>
      <w:r w:rsidRPr="00593285">
        <w:t xml:space="preserve"> </w:t>
      </w:r>
      <w:hyperlink r:id="rId13" w:history="1">
        <w:r w:rsidR="0000019F">
          <w:rPr>
            <w:rStyle w:val="Hyperlink"/>
          </w:rPr>
          <w:t>Use of exclusions and suspensions as a consequence | Education Essex Online</w:t>
        </w:r>
      </w:hyperlink>
    </w:p>
    <w:p w14:paraId="0CCA1170" w14:textId="77777777" w:rsidR="00BE18B2" w:rsidRPr="00BE18B2" w:rsidRDefault="00BE18B2" w:rsidP="00BE18B2"/>
    <w:p w14:paraId="3F0BBE5E" w14:textId="77777777" w:rsidR="00BE18B2" w:rsidRDefault="00BE18B2" w:rsidP="00BE18B2">
      <w:pPr>
        <w:pStyle w:val="Heading1"/>
      </w:pPr>
      <w:r>
        <w:t xml:space="preserve">Reintegration after Suspension </w:t>
      </w:r>
    </w:p>
    <w:p w14:paraId="4092FD55" w14:textId="77777777" w:rsidR="00BE18B2" w:rsidRDefault="00BE18B2" w:rsidP="00BE18B2">
      <w:r w:rsidRPr="00C001E3">
        <w:t>Reintegration following a</w:t>
      </w:r>
      <w:r>
        <w:t xml:space="preserve"> </w:t>
      </w:r>
      <w:r w:rsidRPr="00286346">
        <w:t>suspension</w:t>
      </w:r>
      <w:r w:rsidRPr="00C001E3">
        <w:t xml:space="preserve"> is a crucial part of ensuring that the pupil is supported appropriately and that the circumstances leading to the exclusion are fully addressed. Every </w:t>
      </w:r>
      <w:r w:rsidRPr="00286346">
        <w:t xml:space="preserve">suspension should </w:t>
      </w:r>
      <w:r w:rsidRPr="00C001E3">
        <w:t>be followed by a reintegration meeting involving the pupil, their parent or carer, and relevant school staff, providing an opportunity to rebuild relationships, understand the pupil’s perspective, and agree on next steps.</w:t>
      </w:r>
    </w:p>
    <w:p w14:paraId="4D583E55" w14:textId="77777777" w:rsidR="006001D1" w:rsidRPr="00C001E3" w:rsidRDefault="006001D1" w:rsidP="00BE18B2"/>
    <w:p w14:paraId="620D6FE8" w14:textId="77777777" w:rsidR="00BE18B2" w:rsidRDefault="00BE18B2" w:rsidP="00BE18B2">
      <w:r w:rsidRPr="00C001E3">
        <w:t>As part of this process, schools should review and, where necessary, adapt existing support plans to ensure they reflect the pupil’s current needs and any emerging concerns. Risk assessments should be updated to address identified triggers or safety considerations, and schools must actively consider whether additional support, interventions or changes to provision are required to enable the pupil to succeed.</w:t>
      </w:r>
    </w:p>
    <w:p w14:paraId="645E92A4" w14:textId="77777777" w:rsidR="006001D1" w:rsidRPr="00C001E3" w:rsidRDefault="006001D1" w:rsidP="00BE18B2"/>
    <w:p w14:paraId="388B02CE" w14:textId="77777777" w:rsidR="00BE18B2" w:rsidRPr="00C001E3" w:rsidRDefault="00BE18B2" w:rsidP="00BE18B2">
      <w:r w:rsidRPr="00C001E3">
        <w:t>Pupil voice should be central to reintegration planning, helping to identify what works, what the pupil finds difficult, and what support they believe will help them re</w:t>
      </w:r>
      <w:r w:rsidRPr="00C001E3">
        <w:noBreakHyphen/>
        <w:t>engage positively with school. Following reintegration, staff should closely monitor the pupil’s progress, reviewing support regularly and adjusting provision where necessary to prevent recurrence. Ultimately, the purpose of reintegration is to strengthen inclusion and improve the quality of support available to the pupil.</w:t>
      </w:r>
    </w:p>
    <w:p w14:paraId="47F7656A" w14:textId="77777777" w:rsidR="00BE18B2" w:rsidRDefault="00BE18B2" w:rsidP="00BE18B2">
      <w:pPr>
        <w:pStyle w:val="BodyText2"/>
      </w:pPr>
    </w:p>
    <w:p w14:paraId="78FA5F68" w14:textId="77777777" w:rsidR="00BE18B2" w:rsidRDefault="00BE18B2" w:rsidP="00BE18B2">
      <w:pPr>
        <w:pStyle w:val="Heading1"/>
      </w:pPr>
      <w:r>
        <w:t xml:space="preserve">Role of School Staff </w:t>
      </w:r>
    </w:p>
    <w:p w14:paraId="382B190F" w14:textId="14EDEA09" w:rsidR="00BE18B2" w:rsidRDefault="00BE18B2" w:rsidP="00BE18B2">
      <w:r w:rsidRPr="00631F61">
        <w:t xml:space="preserve">School staff have a critical responsibility to ensure </w:t>
      </w:r>
      <w:r w:rsidRPr="00286346">
        <w:t xml:space="preserve">that suspension or </w:t>
      </w:r>
      <w:r w:rsidRPr="00631F61">
        <w:t xml:space="preserve">exclusion is used only as a last resort and that decisions are grounded in a clear understanding of the pupil’s needs. This includes regularly reviewing EHCPs and One Plans, implementing and evaluating reasonable adjustments, and maintaining detailed documentation of all interventions. </w:t>
      </w:r>
      <w:r w:rsidR="006001D1">
        <w:t>W</w:t>
      </w:r>
      <w:r w:rsidRPr="00631F61">
        <w:t xml:space="preserve">here a pupil with an EHCP is at risk of exclusion, staff </w:t>
      </w:r>
      <w:r w:rsidRPr="00CF77A6">
        <w:t>must initiate and lead on a meeting involving all professionals and the family, including the child/young person where possible. As best practice, school staff must also inform the SEND Operations Team. This is an opportunity to reassess provision and determine whether further support</w:t>
      </w:r>
      <w:r w:rsidRPr="00631F61">
        <w:t xml:space="preserve"> or changes to the plan are required. Staff should avoid using the DB code unless there is clear evidence that the behaviour is entirely unrelated to the pupil’s SEND.</w:t>
      </w:r>
    </w:p>
    <w:p w14:paraId="686D2D16" w14:textId="77777777" w:rsidR="00BE18B2" w:rsidRDefault="00BE18B2" w:rsidP="00BE18B2"/>
    <w:p w14:paraId="3F67A0A0" w14:textId="77777777" w:rsidR="00BE18B2" w:rsidRDefault="00BE18B2" w:rsidP="00BE18B2">
      <w:pPr>
        <w:pStyle w:val="Heading1"/>
      </w:pPr>
      <w:r>
        <w:lastRenderedPageBreak/>
        <w:t xml:space="preserve">Role of Governors </w:t>
      </w:r>
    </w:p>
    <w:p w14:paraId="0589E8BB" w14:textId="57CD3716" w:rsidR="00BE18B2" w:rsidRDefault="00BE18B2" w:rsidP="00BE18B2">
      <w:r w:rsidRPr="00C001E3">
        <w:t>Governors play a strategic role in ensuring that the school’s behaviour and</w:t>
      </w:r>
      <w:r>
        <w:t xml:space="preserve"> </w:t>
      </w:r>
      <w:r w:rsidRPr="00CF77A6">
        <w:t xml:space="preserve">suspension/ </w:t>
      </w:r>
      <w:r w:rsidRPr="00C001E3">
        <w:t xml:space="preserve">exclusion practices are lawful, fair and inclusive. They must ensure alignment between behaviour and SEND policies, </w:t>
      </w:r>
      <w:r w:rsidRPr="00326F48">
        <w:t xml:space="preserve">align </w:t>
      </w:r>
      <w:r w:rsidR="0000019F">
        <w:t>with the</w:t>
      </w:r>
      <w:r w:rsidRPr="00326F48">
        <w:t xml:space="preserve"> stated school vision and values</w:t>
      </w:r>
      <w:r>
        <w:t xml:space="preserve">, </w:t>
      </w:r>
      <w:r w:rsidRPr="00C001E3">
        <w:t>promote early intervention and multi</w:t>
      </w:r>
      <w:r w:rsidRPr="00C001E3">
        <w:noBreakHyphen/>
        <w:t xml:space="preserve">agency collaboration, and ensure that pupil voice meaningfully informs behaviour approaches. </w:t>
      </w:r>
    </w:p>
    <w:p w14:paraId="32100ABD" w14:textId="77777777" w:rsidR="006001D1" w:rsidRDefault="006001D1" w:rsidP="00BE18B2"/>
    <w:p w14:paraId="16B1EFCE" w14:textId="77777777" w:rsidR="00BE18B2" w:rsidRDefault="00BE18B2" w:rsidP="00BE18B2">
      <w:r w:rsidRPr="00C001E3">
        <w:t>Governors should also confirm that staff receive appropriate training on managing behaviour linked to SEND.</w:t>
      </w:r>
    </w:p>
    <w:p w14:paraId="2E8059BD" w14:textId="77777777" w:rsidR="006001D1" w:rsidRPr="00C001E3" w:rsidRDefault="006001D1" w:rsidP="00BE18B2"/>
    <w:p w14:paraId="43496935" w14:textId="77777777" w:rsidR="00BE18B2" w:rsidRDefault="00BE18B2" w:rsidP="00BE18B2">
      <w:r w:rsidRPr="00C001E3">
        <w:t>In addition, governors must scrutinise exclusion data carefully to identify disproportionality or patterns that suggest unmet need or systemic issues. They are responsible for offering robust challenge where exclusions appear inappropriate and ensuring that parents and carers are fully informed of their rights throughout the process.</w:t>
      </w:r>
    </w:p>
    <w:p w14:paraId="37B6B782" w14:textId="77777777" w:rsidR="002E6769" w:rsidRDefault="002E6769" w:rsidP="00BE18B2"/>
    <w:p w14:paraId="7255F902" w14:textId="77777777" w:rsidR="00BE18B2" w:rsidRDefault="00BE18B2" w:rsidP="00BE18B2">
      <w:pPr>
        <w:pStyle w:val="Heading1"/>
      </w:pPr>
      <w:r>
        <w:t xml:space="preserve">Key Questions for School Leaders and Governors </w:t>
      </w:r>
    </w:p>
    <w:p w14:paraId="59E1434D" w14:textId="31DFCD18" w:rsidR="002E6769" w:rsidRDefault="00BE18B2" w:rsidP="00BE18B2">
      <w:r w:rsidRPr="00631F61">
        <w:t>When considering or reviewing an exclusion, leaders and governors should engage in reflective, evidence</w:t>
      </w:r>
      <w:r w:rsidRPr="00631F61">
        <w:noBreakHyphen/>
        <w:t xml:space="preserve">based questioning to ensure compliance with statutory duties and inclusive practice. They should ask whether the behaviour may have been linked to unmet needs, whether reasonable adjustments and personalised interventions were implemented, and whether the EHCP was fully followed and reviewed. Leaders should also consider </w:t>
      </w:r>
      <w:r w:rsidRPr="00CF77A6">
        <w:t xml:space="preserve">whether suspension or </w:t>
      </w:r>
      <w:r w:rsidRPr="00631F61">
        <w:t>exclusion is truly the last resort and whether the DB code accurately and defensibly reflects the behaviour in question, or whether another code or alternative response would be more appropriate.</w:t>
      </w:r>
    </w:p>
    <w:p w14:paraId="6F75A86A" w14:textId="77777777" w:rsidR="002E6769" w:rsidRDefault="002E6769" w:rsidP="00BE18B2"/>
    <w:p w14:paraId="41B1D412" w14:textId="77777777" w:rsidR="00BE18B2" w:rsidRDefault="00BE18B2" w:rsidP="00BE18B2">
      <w:pPr>
        <w:pStyle w:val="Heading1"/>
      </w:pPr>
      <w:r>
        <w:t xml:space="preserve">Final Commitment to the Appropriate Use of the DB Code </w:t>
      </w:r>
    </w:p>
    <w:p w14:paraId="5E218117" w14:textId="77777777" w:rsidR="00BE18B2" w:rsidRPr="00C001E3" w:rsidRDefault="00BE18B2" w:rsidP="00BE18B2">
      <w:r w:rsidRPr="00C001E3">
        <w:t>Our shared ambition in Essex is to ensure that no pupil</w:t>
      </w:r>
      <w:r>
        <w:t xml:space="preserve">, </w:t>
      </w:r>
      <w:r w:rsidRPr="00C001E3">
        <w:t>especially those with SEND</w:t>
      </w:r>
      <w:r>
        <w:t xml:space="preserve">, </w:t>
      </w:r>
      <w:r w:rsidRPr="00C001E3">
        <w:t>is excluded under the DB code where behaviour reflects unmet need. By applying statutory duties, Trauma Perceptive Practice and a clear understanding of underlying causes, schools can use exclusion only as a last resort and ensure every decision is fair, lawful a</w:t>
      </w:r>
      <w:r>
        <w:t>nd just</w:t>
      </w:r>
      <w:r>
        <w:rPr>
          <w:color w:val="7030A0"/>
        </w:rPr>
        <w:t>.</w:t>
      </w:r>
    </w:p>
    <w:p w14:paraId="4662454B" w14:textId="77777777" w:rsidR="00BE18B2" w:rsidRDefault="00BE18B2" w:rsidP="00BE18B2"/>
    <w:p w14:paraId="43092457" w14:textId="77777777" w:rsidR="00BE18B2" w:rsidRDefault="00BE18B2" w:rsidP="00BE18B2">
      <w:pPr>
        <w:pStyle w:val="Heading1"/>
      </w:pPr>
    </w:p>
    <w:sectPr w:rsidR="00BE18B2" w:rsidSect="00BE18B2">
      <w:footerReference w:type="default" r:id="rId14"/>
      <w:pgSz w:w="11906" w:h="16838" w:code="9"/>
      <w:pgMar w:top="907" w:right="1797" w:bottom="1684" w:left="1021" w:header="907" w:footer="6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4B401" w14:textId="77777777" w:rsidR="00606301" w:rsidRDefault="00606301" w:rsidP="00EB300A">
      <w:pPr>
        <w:spacing w:line="240" w:lineRule="auto"/>
      </w:pPr>
      <w:r>
        <w:separator/>
      </w:r>
    </w:p>
  </w:endnote>
  <w:endnote w:type="continuationSeparator" w:id="0">
    <w:p w14:paraId="6A409152" w14:textId="77777777" w:rsidR="00606301" w:rsidRDefault="00606301" w:rsidP="00EB30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6D2A4" w14:textId="0CF4E82C" w:rsidR="006001D1" w:rsidRDefault="006001D1">
    <w:pPr>
      <w:pStyle w:val="Footer"/>
    </w:pPr>
    <w:r>
      <w:t>Education Access Team and SEMH Strategy Team (April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06FCF" w14:textId="77777777" w:rsidR="00606301" w:rsidRDefault="00606301" w:rsidP="00EB300A">
      <w:pPr>
        <w:spacing w:line="240" w:lineRule="auto"/>
      </w:pPr>
      <w:r>
        <w:separator/>
      </w:r>
    </w:p>
  </w:footnote>
  <w:footnote w:type="continuationSeparator" w:id="0">
    <w:p w14:paraId="50FEC809" w14:textId="77777777" w:rsidR="00606301" w:rsidRDefault="00606301" w:rsidP="00EB300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43CBA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A28F1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950A4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42530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14C5A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1893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36D6D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A03A86"/>
    <w:lvl w:ilvl="0">
      <w:start w:val="1"/>
      <w:numFmt w:val="bullet"/>
      <w:pStyle w:val="ListBullet2"/>
      <w:lvlText w:val="•"/>
      <w:lvlJc w:val="left"/>
      <w:pPr>
        <w:ind w:left="360" w:hanging="360"/>
      </w:pPr>
      <w:rPr>
        <w:rFonts w:ascii="Arial" w:hAnsi="Arial" w:hint="default"/>
        <w:color w:val="E40037" w:themeColor="accent1"/>
      </w:rPr>
    </w:lvl>
  </w:abstractNum>
  <w:abstractNum w:abstractNumId="8" w15:restartNumberingAfterBreak="0">
    <w:nsid w:val="FFFFFF88"/>
    <w:multiLevelType w:val="singleLevel"/>
    <w:tmpl w:val="551C74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B87FAA"/>
    <w:lvl w:ilvl="0">
      <w:start w:val="1"/>
      <w:numFmt w:val="bullet"/>
      <w:pStyle w:val="ListBullet"/>
      <w:lvlText w:val="•"/>
      <w:lvlJc w:val="left"/>
      <w:pPr>
        <w:ind w:left="360" w:hanging="360"/>
      </w:pPr>
      <w:rPr>
        <w:rFonts w:ascii="Arial" w:hAnsi="Arial" w:hint="default"/>
        <w:color w:val="E40037" w:themeColor="accent1"/>
      </w:rPr>
    </w:lvl>
  </w:abstractNum>
  <w:abstractNum w:abstractNumId="10" w15:restartNumberingAfterBreak="0">
    <w:nsid w:val="073246F5"/>
    <w:multiLevelType w:val="multilevel"/>
    <w:tmpl w:val="E04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2051D6"/>
    <w:multiLevelType w:val="multilevel"/>
    <w:tmpl w:val="652A6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D94DBA"/>
    <w:multiLevelType w:val="multilevel"/>
    <w:tmpl w:val="5E80D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670B9D"/>
    <w:multiLevelType w:val="hybridMultilevel"/>
    <w:tmpl w:val="582037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3915FC"/>
    <w:multiLevelType w:val="hybridMultilevel"/>
    <w:tmpl w:val="13B8E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102583"/>
    <w:multiLevelType w:val="hybridMultilevel"/>
    <w:tmpl w:val="E90AA36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3841698"/>
    <w:multiLevelType w:val="multilevel"/>
    <w:tmpl w:val="657E1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6A584D"/>
    <w:multiLevelType w:val="multilevel"/>
    <w:tmpl w:val="657E1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C85F4D"/>
    <w:multiLevelType w:val="hybridMultilevel"/>
    <w:tmpl w:val="64048820"/>
    <w:lvl w:ilvl="0" w:tplc="968271E4">
      <w:start w:val="1"/>
      <w:numFmt w:val="bullet"/>
      <w:lvlText w:val=""/>
      <w:lvlJc w:val="left"/>
      <w:pPr>
        <w:ind w:left="720" w:hanging="360"/>
      </w:pPr>
      <w:rPr>
        <w:rFonts w:ascii="Symbol" w:hAnsi="Symbol" w:hint="default"/>
        <w:i w:val="0"/>
        <w:i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46D45CB"/>
    <w:multiLevelType w:val="multilevel"/>
    <w:tmpl w:val="657E1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A95C1D"/>
    <w:multiLevelType w:val="multilevel"/>
    <w:tmpl w:val="400C8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0A59D8"/>
    <w:multiLevelType w:val="multilevel"/>
    <w:tmpl w:val="1CCE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9C5528"/>
    <w:multiLevelType w:val="multilevel"/>
    <w:tmpl w:val="5C5A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129F7"/>
    <w:multiLevelType w:val="multilevel"/>
    <w:tmpl w:val="657E1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0975407">
    <w:abstractNumId w:val="9"/>
  </w:num>
  <w:num w:numId="2" w16cid:durableId="1081870385">
    <w:abstractNumId w:val="7"/>
  </w:num>
  <w:num w:numId="3" w16cid:durableId="583682846">
    <w:abstractNumId w:val="6"/>
  </w:num>
  <w:num w:numId="4" w16cid:durableId="1269310740">
    <w:abstractNumId w:val="5"/>
  </w:num>
  <w:num w:numId="5" w16cid:durableId="1468930844">
    <w:abstractNumId w:val="4"/>
  </w:num>
  <w:num w:numId="6" w16cid:durableId="2017534280">
    <w:abstractNumId w:val="8"/>
  </w:num>
  <w:num w:numId="7" w16cid:durableId="1734738548">
    <w:abstractNumId w:val="3"/>
  </w:num>
  <w:num w:numId="8" w16cid:durableId="636688744">
    <w:abstractNumId w:val="2"/>
  </w:num>
  <w:num w:numId="9" w16cid:durableId="1703096437">
    <w:abstractNumId w:val="1"/>
  </w:num>
  <w:num w:numId="10" w16cid:durableId="1334722959">
    <w:abstractNumId w:val="0"/>
  </w:num>
  <w:num w:numId="11" w16cid:durableId="2070884059">
    <w:abstractNumId w:val="20"/>
  </w:num>
  <w:num w:numId="12" w16cid:durableId="1572156656">
    <w:abstractNumId w:val="21"/>
  </w:num>
  <w:num w:numId="13" w16cid:durableId="709845687">
    <w:abstractNumId w:val="10"/>
  </w:num>
  <w:num w:numId="14" w16cid:durableId="107089286">
    <w:abstractNumId w:val="22"/>
  </w:num>
  <w:num w:numId="15" w16cid:durableId="384179358">
    <w:abstractNumId w:val="11"/>
  </w:num>
  <w:num w:numId="16" w16cid:durableId="1364401007">
    <w:abstractNumId w:val="12"/>
  </w:num>
  <w:num w:numId="17" w16cid:durableId="810561778">
    <w:abstractNumId w:val="19"/>
  </w:num>
  <w:num w:numId="18" w16cid:durableId="449131751">
    <w:abstractNumId w:val="23"/>
  </w:num>
  <w:num w:numId="19" w16cid:durableId="54395749">
    <w:abstractNumId w:val="16"/>
  </w:num>
  <w:num w:numId="20" w16cid:durableId="1922059569">
    <w:abstractNumId w:val="13"/>
  </w:num>
  <w:num w:numId="21" w16cid:durableId="1118796076">
    <w:abstractNumId w:val="17"/>
  </w:num>
  <w:num w:numId="22" w16cid:durableId="1157309821">
    <w:abstractNumId w:val="18"/>
  </w:num>
  <w:num w:numId="23" w16cid:durableId="1577283859">
    <w:abstractNumId w:val="14"/>
  </w:num>
  <w:num w:numId="24" w16cid:durableId="11366775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F7D"/>
    <w:rsid w:val="0000019F"/>
    <w:rsid w:val="000D7879"/>
    <w:rsid w:val="000E386C"/>
    <w:rsid w:val="000F4640"/>
    <w:rsid w:val="00102349"/>
    <w:rsid w:val="00111E24"/>
    <w:rsid w:val="002104A1"/>
    <w:rsid w:val="00240218"/>
    <w:rsid w:val="00250AD9"/>
    <w:rsid w:val="002702B7"/>
    <w:rsid w:val="002E6769"/>
    <w:rsid w:val="003576D9"/>
    <w:rsid w:val="00361380"/>
    <w:rsid w:val="00471E76"/>
    <w:rsid w:val="004D3F7D"/>
    <w:rsid w:val="005D7E6C"/>
    <w:rsid w:val="005F4E3C"/>
    <w:rsid w:val="006001D1"/>
    <w:rsid w:val="00606301"/>
    <w:rsid w:val="00621BBA"/>
    <w:rsid w:val="00772CB3"/>
    <w:rsid w:val="007A5592"/>
    <w:rsid w:val="008056D0"/>
    <w:rsid w:val="0085274B"/>
    <w:rsid w:val="0085733F"/>
    <w:rsid w:val="00895CFE"/>
    <w:rsid w:val="00897A77"/>
    <w:rsid w:val="00924AFE"/>
    <w:rsid w:val="009B13D2"/>
    <w:rsid w:val="00A04AEE"/>
    <w:rsid w:val="00A63D70"/>
    <w:rsid w:val="00AB1032"/>
    <w:rsid w:val="00AB6370"/>
    <w:rsid w:val="00B45F22"/>
    <w:rsid w:val="00B67160"/>
    <w:rsid w:val="00BE18B2"/>
    <w:rsid w:val="00C45707"/>
    <w:rsid w:val="00C9493B"/>
    <w:rsid w:val="00CB5270"/>
    <w:rsid w:val="00CF505C"/>
    <w:rsid w:val="00D445FB"/>
    <w:rsid w:val="00D86022"/>
    <w:rsid w:val="00E07559"/>
    <w:rsid w:val="00EB300A"/>
    <w:rsid w:val="00F25C7B"/>
    <w:rsid w:val="00F94B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675FB"/>
  <w15:chartTrackingRefBased/>
  <w15:docId w15:val="{8B52D60A-AE46-4B4A-B2F0-EB8EBBACB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4A1"/>
    <w:pPr>
      <w:spacing w:after="0" w:line="247" w:lineRule="auto"/>
    </w:pPr>
    <w:rPr>
      <w:sz w:val="24"/>
    </w:rPr>
  </w:style>
  <w:style w:type="paragraph" w:styleId="Heading1">
    <w:name w:val="heading 1"/>
    <w:basedOn w:val="Normal"/>
    <w:next w:val="Normal"/>
    <w:link w:val="Heading1Char"/>
    <w:uiPriority w:val="9"/>
    <w:qFormat/>
    <w:rsid w:val="000D7879"/>
    <w:pPr>
      <w:keepNext/>
      <w:keepLines/>
      <w:spacing w:before="284" w:after="170"/>
      <w:outlineLvl w:val="0"/>
    </w:pPr>
    <w:rPr>
      <w:rFonts w:asciiTheme="majorHAnsi" w:eastAsiaTheme="majorEastAsia" w:hAnsiTheme="majorHAnsi" w:cstheme="majorBidi"/>
      <w:b/>
      <w:color w:val="E40037" w:themeColor="accent1"/>
      <w:sz w:val="32"/>
      <w:szCs w:val="32"/>
    </w:rPr>
  </w:style>
  <w:style w:type="paragraph" w:styleId="Heading2">
    <w:name w:val="heading 2"/>
    <w:basedOn w:val="Normal"/>
    <w:next w:val="Normal"/>
    <w:link w:val="Heading2Char"/>
    <w:uiPriority w:val="9"/>
    <w:unhideWhenUsed/>
    <w:qFormat/>
    <w:rsid w:val="000D7879"/>
    <w:pPr>
      <w:keepNext/>
      <w:keepLines/>
      <w:spacing w:after="170" w:line="216" w:lineRule="auto"/>
      <w:outlineLvl w:val="1"/>
    </w:pPr>
    <w:rPr>
      <w:rFonts w:asciiTheme="majorHAnsi" w:eastAsiaTheme="majorEastAsia" w:hAnsiTheme="majorHAnsi" w:cstheme="majorBidi"/>
      <w:b/>
      <w:sz w:val="28"/>
      <w:szCs w:val="26"/>
    </w:rPr>
  </w:style>
  <w:style w:type="paragraph" w:styleId="Heading3">
    <w:name w:val="heading 3"/>
    <w:basedOn w:val="Normal"/>
    <w:next w:val="BodyText2"/>
    <w:link w:val="Heading3Char"/>
    <w:uiPriority w:val="9"/>
    <w:unhideWhenUsed/>
    <w:qFormat/>
    <w:rsid w:val="00B67160"/>
    <w:pPr>
      <w:keepNext/>
      <w:keepLines/>
      <w:spacing w:after="170"/>
      <w:outlineLvl w:val="2"/>
    </w:pPr>
    <w:rPr>
      <w:rFonts w:asciiTheme="majorHAnsi" w:eastAsiaTheme="majorEastAsia" w:hAnsiTheme="majorHAnsi"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5733F"/>
    <w:pPr>
      <w:spacing w:line="240" w:lineRule="auto"/>
      <w:contextualSpacing/>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uiPriority w:val="10"/>
    <w:rsid w:val="0085733F"/>
    <w:rPr>
      <w:rFonts w:asciiTheme="majorHAnsi" w:eastAsiaTheme="majorEastAsia" w:hAnsiTheme="majorHAnsi" w:cstheme="majorBidi"/>
      <w:b/>
      <w:spacing w:val="-10"/>
      <w:kern w:val="28"/>
      <w:sz w:val="56"/>
      <w:szCs w:val="56"/>
    </w:rPr>
  </w:style>
  <w:style w:type="paragraph" w:styleId="Subtitle">
    <w:name w:val="Subtitle"/>
    <w:basedOn w:val="Normal"/>
    <w:next w:val="Normal"/>
    <w:link w:val="SubtitleChar"/>
    <w:uiPriority w:val="11"/>
    <w:qFormat/>
    <w:rsid w:val="0085733F"/>
    <w:pPr>
      <w:numPr>
        <w:ilvl w:val="1"/>
      </w:numPr>
      <w:spacing w:after="567"/>
    </w:pPr>
    <w:rPr>
      <w:rFonts w:ascii="Calibri Light" w:eastAsiaTheme="minorEastAsia" w:hAnsi="Calibri Light"/>
      <w:color w:val="E40037" w:themeColor="accent1"/>
      <w:sz w:val="48"/>
    </w:rPr>
  </w:style>
  <w:style w:type="character" w:customStyle="1" w:styleId="SubtitleChar">
    <w:name w:val="Subtitle Char"/>
    <w:basedOn w:val="DefaultParagraphFont"/>
    <w:link w:val="Subtitle"/>
    <w:uiPriority w:val="11"/>
    <w:rsid w:val="0085733F"/>
    <w:rPr>
      <w:rFonts w:ascii="Calibri Light" w:eastAsiaTheme="minorEastAsia" w:hAnsi="Calibri Light"/>
      <w:color w:val="E40037" w:themeColor="accent1"/>
      <w:sz w:val="48"/>
    </w:rPr>
  </w:style>
  <w:style w:type="paragraph" w:styleId="BodyText">
    <w:name w:val="Body Text"/>
    <w:basedOn w:val="Normal"/>
    <w:link w:val="BodyTextChar"/>
    <w:uiPriority w:val="99"/>
    <w:unhideWhenUsed/>
    <w:rsid w:val="000D7879"/>
    <w:pPr>
      <w:spacing w:after="284"/>
    </w:pPr>
    <w:rPr>
      <w:rFonts w:ascii="Calibri Light" w:hAnsi="Calibri Light"/>
      <w:sz w:val="32"/>
    </w:rPr>
  </w:style>
  <w:style w:type="character" w:customStyle="1" w:styleId="BodyTextChar">
    <w:name w:val="Body Text Char"/>
    <w:basedOn w:val="DefaultParagraphFont"/>
    <w:link w:val="BodyText"/>
    <w:uiPriority w:val="99"/>
    <w:rsid w:val="000D7879"/>
    <w:rPr>
      <w:rFonts w:ascii="Calibri Light" w:hAnsi="Calibri Light"/>
      <w:sz w:val="32"/>
    </w:rPr>
  </w:style>
  <w:style w:type="paragraph" w:styleId="BodyText2">
    <w:name w:val="Body Text 2"/>
    <w:basedOn w:val="Normal"/>
    <w:link w:val="BodyText2Char"/>
    <w:uiPriority w:val="99"/>
    <w:unhideWhenUsed/>
    <w:rsid w:val="000D7879"/>
    <w:pPr>
      <w:spacing w:after="284"/>
    </w:pPr>
  </w:style>
  <w:style w:type="character" w:customStyle="1" w:styleId="BodyText2Char">
    <w:name w:val="Body Text 2 Char"/>
    <w:basedOn w:val="DefaultParagraphFont"/>
    <w:link w:val="BodyText2"/>
    <w:uiPriority w:val="99"/>
    <w:rsid w:val="000D7879"/>
    <w:rPr>
      <w:sz w:val="24"/>
    </w:rPr>
  </w:style>
  <w:style w:type="character" w:customStyle="1" w:styleId="Heading1Char">
    <w:name w:val="Heading 1 Char"/>
    <w:basedOn w:val="DefaultParagraphFont"/>
    <w:link w:val="Heading1"/>
    <w:uiPriority w:val="9"/>
    <w:rsid w:val="000D7879"/>
    <w:rPr>
      <w:rFonts w:asciiTheme="majorHAnsi" w:eastAsiaTheme="majorEastAsia" w:hAnsiTheme="majorHAnsi" w:cstheme="majorBidi"/>
      <w:b/>
      <w:color w:val="E40037" w:themeColor="accent1"/>
      <w:sz w:val="32"/>
      <w:szCs w:val="32"/>
    </w:rPr>
  </w:style>
  <w:style w:type="character" w:styleId="Hyperlink">
    <w:name w:val="Hyperlink"/>
    <w:basedOn w:val="DefaultParagraphFont"/>
    <w:uiPriority w:val="99"/>
    <w:unhideWhenUsed/>
    <w:rsid w:val="000D7879"/>
    <w:rPr>
      <w:color w:val="4179AA" w:themeColor="accent2"/>
      <w:u w:val="single"/>
    </w:rPr>
  </w:style>
  <w:style w:type="character" w:customStyle="1" w:styleId="Heading2Char">
    <w:name w:val="Heading 2 Char"/>
    <w:basedOn w:val="DefaultParagraphFont"/>
    <w:link w:val="Heading2"/>
    <w:uiPriority w:val="9"/>
    <w:rsid w:val="000D7879"/>
    <w:rPr>
      <w:rFonts w:asciiTheme="majorHAnsi" w:eastAsiaTheme="majorEastAsia" w:hAnsiTheme="majorHAnsi" w:cstheme="majorBidi"/>
      <w:b/>
      <w:sz w:val="28"/>
      <w:szCs w:val="26"/>
    </w:rPr>
  </w:style>
  <w:style w:type="paragraph" w:styleId="BodyText3">
    <w:name w:val="Body Text 3"/>
    <w:basedOn w:val="BodyText2"/>
    <w:link w:val="BodyText3Char"/>
    <w:uiPriority w:val="99"/>
    <w:unhideWhenUsed/>
    <w:rsid w:val="002104A1"/>
    <w:pPr>
      <w:spacing w:after="113"/>
    </w:pPr>
  </w:style>
  <w:style w:type="character" w:customStyle="1" w:styleId="BodyText3Char">
    <w:name w:val="Body Text 3 Char"/>
    <w:basedOn w:val="DefaultParagraphFont"/>
    <w:link w:val="BodyText3"/>
    <w:uiPriority w:val="99"/>
    <w:rsid w:val="002104A1"/>
    <w:rPr>
      <w:sz w:val="24"/>
    </w:rPr>
  </w:style>
  <w:style w:type="paragraph" w:styleId="ListBullet">
    <w:name w:val="List Bullet"/>
    <w:basedOn w:val="Normal"/>
    <w:uiPriority w:val="99"/>
    <w:unhideWhenUsed/>
    <w:rsid w:val="00C9493B"/>
    <w:pPr>
      <w:numPr>
        <w:numId w:val="1"/>
      </w:numPr>
      <w:spacing w:after="113"/>
    </w:pPr>
  </w:style>
  <w:style w:type="paragraph" w:styleId="ListBullet2">
    <w:name w:val="List Bullet 2"/>
    <w:basedOn w:val="Normal"/>
    <w:uiPriority w:val="99"/>
    <w:unhideWhenUsed/>
    <w:rsid w:val="00C9493B"/>
    <w:pPr>
      <w:numPr>
        <w:numId w:val="2"/>
      </w:numPr>
      <w:spacing w:after="284"/>
      <w:ind w:left="357" w:hanging="357"/>
    </w:pPr>
  </w:style>
  <w:style w:type="paragraph" w:styleId="Header">
    <w:name w:val="header"/>
    <w:basedOn w:val="Normal"/>
    <w:link w:val="HeaderChar"/>
    <w:uiPriority w:val="99"/>
    <w:unhideWhenUsed/>
    <w:rsid w:val="00EB300A"/>
    <w:pPr>
      <w:tabs>
        <w:tab w:val="center" w:pos="4513"/>
        <w:tab w:val="right" w:pos="9026"/>
      </w:tabs>
      <w:spacing w:line="240" w:lineRule="auto"/>
    </w:pPr>
  </w:style>
  <w:style w:type="character" w:customStyle="1" w:styleId="HeaderChar">
    <w:name w:val="Header Char"/>
    <w:basedOn w:val="DefaultParagraphFont"/>
    <w:link w:val="Header"/>
    <w:uiPriority w:val="99"/>
    <w:rsid w:val="00EB300A"/>
    <w:rPr>
      <w:sz w:val="24"/>
    </w:rPr>
  </w:style>
  <w:style w:type="paragraph" w:styleId="Footer">
    <w:name w:val="footer"/>
    <w:basedOn w:val="Normal"/>
    <w:link w:val="FooterChar"/>
    <w:uiPriority w:val="99"/>
    <w:unhideWhenUsed/>
    <w:rsid w:val="00EB300A"/>
    <w:pPr>
      <w:tabs>
        <w:tab w:val="center" w:pos="4513"/>
        <w:tab w:val="right" w:pos="9026"/>
      </w:tabs>
      <w:spacing w:line="240" w:lineRule="auto"/>
    </w:pPr>
    <w:rPr>
      <w:color w:val="76766B"/>
      <w:sz w:val="20"/>
    </w:rPr>
  </w:style>
  <w:style w:type="character" w:customStyle="1" w:styleId="FooterChar">
    <w:name w:val="Footer Char"/>
    <w:basedOn w:val="DefaultParagraphFont"/>
    <w:link w:val="Footer"/>
    <w:uiPriority w:val="99"/>
    <w:rsid w:val="00EB300A"/>
    <w:rPr>
      <w:color w:val="76766B"/>
      <w:sz w:val="20"/>
    </w:rPr>
  </w:style>
  <w:style w:type="character" w:customStyle="1" w:styleId="Heading3Char">
    <w:name w:val="Heading 3 Char"/>
    <w:basedOn w:val="DefaultParagraphFont"/>
    <w:link w:val="Heading3"/>
    <w:uiPriority w:val="9"/>
    <w:rsid w:val="00B67160"/>
    <w:rPr>
      <w:rFonts w:asciiTheme="majorHAnsi" w:eastAsiaTheme="majorEastAsia" w:hAnsiTheme="majorHAnsi" w:cstheme="majorBidi"/>
      <w:b/>
      <w:sz w:val="24"/>
      <w:szCs w:val="24"/>
    </w:rPr>
  </w:style>
  <w:style w:type="paragraph" w:styleId="BlockText">
    <w:name w:val="Block Text"/>
    <w:basedOn w:val="Normal"/>
    <w:uiPriority w:val="99"/>
    <w:unhideWhenUsed/>
    <w:rsid w:val="0085274B"/>
    <w:pPr>
      <w:pBdr>
        <w:left w:val="single" w:sz="2" w:space="20" w:color="E40037" w:themeColor="accent1"/>
      </w:pBdr>
      <w:ind w:left="397"/>
    </w:pPr>
    <w:rPr>
      <w:rFonts w:eastAsiaTheme="minorEastAsia"/>
      <w:b/>
      <w:iCs/>
      <w:lang w:val="it-IT"/>
    </w:rPr>
  </w:style>
  <w:style w:type="table" w:styleId="TableGrid">
    <w:name w:val="Table Grid"/>
    <w:basedOn w:val="TableNormal"/>
    <w:uiPriority w:val="39"/>
    <w:rsid w:val="00852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standardtable">
    <w:name w:val="ECC standard table"/>
    <w:basedOn w:val="TableNormal"/>
    <w:uiPriority w:val="99"/>
    <w:rsid w:val="00250AD9"/>
    <w:pPr>
      <w:spacing w:after="0" w:line="240" w:lineRule="auto"/>
    </w:pPr>
    <w:rPr>
      <w:sz w:val="24"/>
    </w:rPr>
    <w:tblPr>
      <w:tblBorders>
        <w:top w:val="single" w:sz="4" w:space="0" w:color="9D9D9C"/>
        <w:left w:val="single" w:sz="4" w:space="0" w:color="9D9D9C"/>
        <w:bottom w:val="single" w:sz="4" w:space="0" w:color="9D9D9C"/>
        <w:right w:val="single" w:sz="4" w:space="0" w:color="9D9D9C"/>
        <w:insideH w:val="single" w:sz="4" w:space="0" w:color="9D9D9C"/>
        <w:insideV w:val="single" w:sz="4" w:space="0" w:color="9D9D9C"/>
      </w:tblBorders>
      <w:tblCellMar>
        <w:top w:w="170" w:type="dxa"/>
        <w:left w:w="170" w:type="dxa"/>
        <w:bottom w:w="170" w:type="dxa"/>
        <w:right w:w="170" w:type="dxa"/>
      </w:tblCellMar>
    </w:tblPr>
    <w:tcPr>
      <w:vAlign w:val="center"/>
    </w:tcPr>
    <w:tblStylePr w:type="firstRow">
      <w:pPr>
        <w:jc w:val="left"/>
      </w:pPr>
      <w:rPr>
        <w:rFonts w:asciiTheme="majorHAnsi" w:hAnsiTheme="majorHAnsi"/>
        <w:b/>
        <w:color w:val="FFFFFF" w:themeColor="background2"/>
        <w:sz w:val="26"/>
      </w:rPr>
      <w:tblPr/>
      <w:tcPr>
        <w:shd w:val="clear" w:color="auto" w:fill="414745"/>
      </w:tcPr>
    </w:tblStylePr>
  </w:style>
  <w:style w:type="paragraph" w:styleId="Caption">
    <w:name w:val="caption"/>
    <w:basedOn w:val="Normal"/>
    <w:next w:val="Normal"/>
    <w:uiPriority w:val="35"/>
    <w:unhideWhenUsed/>
    <w:qFormat/>
    <w:rsid w:val="00CF505C"/>
    <w:pPr>
      <w:spacing w:before="120" w:after="284" w:line="240" w:lineRule="auto"/>
      <w:ind w:right="2268"/>
    </w:pPr>
    <w:rPr>
      <w:iCs/>
      <w:color w:val="76766B"/>
      <w:szCs w:val="18"/>
    </w:rPr>
  </w:style>
  <w:style w:type="paragraph" w:styleId="ListParagraph">
    <w:name w:val="List Paragraph"/>
    <w:basedOn w:val="Normal"/>
    <w:uiPriority w:val="34"/>
    <w:qFormat/>
    <w:rsid w:val="00895CFE"/>
    <w:pPr>
      <w:spacing w:after="160" w:line="259" w:lineRule="auto"/>
      <w:ind w:left="720"/>
      <w:contextualSpacing/>
    </w:pPr>
    <w:rPr>
      <w:kern w:val="2"/>
      <w:sz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93832">
      <w:bodyDiv w:val="1"/>
      <w:marLeft w:val="0"/>
      <w:marRight w:val="0"/>
      <w:marTop w:val="0"/>
      <w:marBottom w:val="0"/>
      <w:divBdr>
        <w:top w:val="none" w:sz="0" w:space="0" w:color="auto"/>
        <w:left w:val="none" w:sz="0" w:space="0" w:color="auto"/>
        <w:bottom w:val="none" w:sz="0" w:space="0" w:color="auto"/>
        <w:right w:val="none" w:sz="0" w:space="0" w:color="auto"/>
      </w:divBdr>
      <w:divsChild>
        <w:div w:id="2076388308">
          <w:marLeft w:val="0"/>
          <w:marRight w:val="0"/>
          <w:marTop w:val="0"/>
          <w:marBottom w:val="0"/>
          <w:divBdr>
            <w:top w:val="none" w:sz="0" w:space="0" w:color="auto"/>
            <w:left w:val="none" w:sz="0" w:space="0" w:color="auto"/>
            <w:bottom w:val="none" w:sz="0" w:space="0" w:color="auto"/>
            <w:right w:val="none" w:sz="0" w:space="0" w:color="auto"/>
          </w:divBdr>
        </w:div>
      </w:divsChild>
    </w:div>
    <w:div w:id="111755269">
      <w:bodyDiv w:val="1"/>
      <w:marLeft w:val="0"/>
      <w:marRight w:val="0"/>
      <w:marTop w:val="0"/>
      <w:marBottom w:val="0"/>
      <w:divBdr>
        <w:top w:val="none" w:sz="0" w:space="0" w:color="auto"/>
        <w:left w:val="none" w:sz="0" w:space="0" w:color="auto"/>
        <w:bottom w:val="none" w:sz="0" w:space="0" w:color="auto"/>
        <w:right w:val="none" w:sz="0" w:space="0" w:color="auto"/>
      </w:divBdr>
      <w:divsChild>
        <w:div w:id="36706486">
          <w:marLeft w:val="0"/>
          <w:marRight w:val="0"/>
          <w:marTop w:val="0"/>
          <w:marBottom w:val="0"/>
          <w:divBdr>
            <w:top w:val="none" w:sz="0" w:space="0" w:color="auto"/>
            <w:left w:val="none" w:sz="0" w:space="0" w:color="auto"/>
            <w:bottom w:val="none" w:sz="0" w:space="0" w:color="auto"/>
            <w:right w:val="none" w:sz="0" w:space="0" w:color="auto"/>
          </w:divBdr>
        </w:div>
      </w:divsChild>
    </w:div>
    <w:div w:id="240213204">
      <w:bodyDiv w:val="1"/>
      <w:marLeft w:val="0"/>
      <w:marRight w:val="0"/>
      <w:marTop w:val="0"/>
      <w:marBottom w:val="0"/>
      <w:divBdr>
        <w:top w:val="none" w:sz="0" w:space="0" w:color="auto"/>
        <w:left w:val="none" w:sz="0" w:space="0" w:color="auto"/>
        <w:bottom w:val="none" w:sz="0" w:space="0" w:color="auto"/>
        <w:right w:val="none" w:sz="0" w:space="0" w:color="auto"/>
      </w:divBdr>
      <w:divsChild>
        <w:div w:id="318458071">
          <w:marLeft w:val="0"/>
          <w:marRight w:val="0"/>
          <w:marTop w:val="0"/>
          <w:marBottom w:val="0"/>
          <w:divBdr>
            <w:top w:val="none" w:sz="0" w:space="0" w:color="auto"/>
            <w:left w:val="none" w:sz="0" w:space="0" w:color="auto"/>
            <w:bottom w:val="none" w:sz="0" w:space="0" w:color="auto"/>
            <w:right w:val="none" w:sz="0" w:space="0" w:color="auto"/>
          </w:divBdr>
        </w:div>
      </w:divsChild>
    </w:div>
    <w:div w:id="354963088">
      <w:bodyDiv w:val="1"/>
      <w:marLeft w:val="0"/>
      <w:marRight w:val="0"/>
      <w:marTop w:val="0"/>
      <w:marBottom w:val="0"/>
      <w:divBdr>
        <w:top w:val="none" w:sz="0" w:space="0" w:color="auto"/>
        <w:left w:val="none" w:sz="0" w:space="0" w:color="auto"/>
        <w:bottom w:val="none" w:sz="0" w:space="0" w:color="auto"/>
        <w:right w:val="none" w:sz="0" w:space="0" w:color="auto"/>
      </w:divBdr>
      <w:divsChild>
        <w:div w:id="445396172">
          <w:marLeft w:val="0"/>
          <w:marRight w:val="0"/>
          <w:marTop w:val="0"/>
          <w:marBottom w:val="0"/>
          <w:divBdr>
            <w:top w:val="none" w:sz="0" w:space="0" w:color="auto"/>
            <w:left w:val="none" w:sz="0" w:space="0" w:color="auto"/>
            <w:bottom w:val="none" w:sz="0" w:space="0" w:color="auto"/>
            <w:right w:val="none" w:sz="0" w:space="0" w:color="auto"/>
          </w:divBdr>
        </w:div>
      </w:divsChild>
    </w:div>
    <w:div w:id="383873798">
      <w:bodyDiv w:val="1"/>
      <w:marLeft w:val="0"/>
      <w:marRight w:val="0"/>
      <w:marTop w:val="0"/>
      <w:marBottom w:val="0"/>
      <w:divBdr>
        <w:top w:val="none" w:sz="0" w:space="0" w:color="auto"/>
        <w:left w:val="none" w:sz="0" w:space="0" w:color="auto"/>
        <w:bottom w:val="none" w:sz="0" w:space="0" w:color="auto"/>
        <w:right w:val="none" w:sz="0" w:space="0" w:color="auto"/>
      </w:divBdr>
      <w:divsChild>
        <w:div w:id="1381589083">
          <w:marLeft w:val="0"/>
          <w:marRight w:val="0"/>
          <w:marTop w:val="0"/>
          <w:marBottom w:val="0"/>
          <w:divBdr>
            <w:top w:val="none" w:sz="0" w:space="0" w:color="auto"/>
            <w:left w:val="none" w:sz="0" w:space="0" w:color="auto"/>
            <w:bottom w:val="none" w:sz="0" w:space="0" w:color="auto"/>
            <w:right w:val="none" w:sz="0" w:space="0" w:color="auto"/>
          </w:divBdr>
        </w:div>
      </w:divsChild>
    </w:div>
    <w:div w:id="735665355">
      <w:bodyDiv w:val="1"/>
      <w:marLeft w:val="0"/>
      <w:marRight w:val="0"/>
      <w:marTop w:val="0"/>
      <w:marBottom w:val="0"/>
      <w:divBdr>
        <w:top w:val="none" w:sz="0" w:space="0" w:color="auto"/>
        <w:left w:val="none" w:sz="0" w:space="0" w:color="auto"/>
        <w:bottom w:val="none" w:sz="0" w:space="0" w:color="auto"/>
        <w:right w:val="none" w:sz="0" w:space="0" w:color="auto"/>
      </w:divBdr>
      <w:divsChild>
        <w:div w:id="1476606114">
          <w:marLeft w:val="0"/>
          <w:marRight w:val="0"/>
          <w:marTop w:val="0"/>
          <w:marBottom w:val="0"/>
          <w:divBdr>
            <w:top w:val="none" w:sz="0" w:space="0" w:color="auto"/>
            <w:left w:val="none" w:sz="0" w:space="0" w:color="auto"/>
            <w:bottom w:val="none" w:sz="0" w:space="0" w:color="auto"/>
            <w:right w:val="none" w:sz="0" w:space="0" w:color="auto"/>
          </w:divBdr>
        </w:div>
      </w:divsChild>
    </w:div>
    <w:div w:id="887692211">
      <w:bodyDiv w:val="1"/>
      <w:marLeft w:val="0"/>
      <w:marRight w:val="0"/>
      <w:marTop w:val="0"/>
      <w:marBottom w:val="0"/>
      <w:divBdr>
        <w:top w:val="none" w:sz="0" w:space="0" w:color="auto"/>
        <w:left w:val="none" w:sz="0" w:space="0" w:color="auto"/>
        <w:bottom w:val="none" w:sz="0" w:space="0" w:color="auto"/>
        <w:right w:val="none" w:sz="0" w:space="0" w:color="auto"/>
      </w:divBdr>
      <w:divsChild>
        <w:div w:id="1452481272">
          <w:marLeft w:val="0"/>
          <w:marRight w:val="0"/>
          <w:marTop w:val="0"/>
          <w:marBottom w:val="0"/>
          <w:divBdr>
            <w:top w:val="none" w:sz="0" w:space="0" w:color="auto"/>
            <w:left w:val="none" w:sz="0" w:space="0" w:color="auto"/>
            <w:bottom w:val="none" w:sz="0" w:space="0" w:color="auto"/>
            <w:right w:val="none" w:sz="0" w:space="0" w:color="auto"/>
          </w:divBdr>
        </w:div>
      </w:divsChild>
    </w:div>
    <w:div w:id="935744993">
      <w:bodyDiv w:val="1"/>
      <w:marLeft w:val="0"/>
      <w:marRight w:val="0"/>
      <w:marTop w:val="0"/>
      <w:marBottom w:val="0"/>
      <w:divBdr>
        <w:top w:val="none" w:sz="0" w:space="0" w:color="auto"/>
        <w:left w:val="none" w:sz="0" w:space="0" w:color="auto"/>
        <w:bottom w:val="none" w:sz="0" w:space="0" w:color="auto"/>
        <w:right w:val="none" w:sz="0" w:space="0" w:color="auto"/>
      </w:divBdr>
      <w:divsChild>
        <w:div w:id="1851984788">
          <w:marLeft w:val="0"/>
          <w:marRight w:val="0"/>
          <w:marTop w:val="0"/>
          <w:marBottom w:val="0"/>
          <w:divBdr>
            <w:top w:val="none" w:sz="0" w:space="0" w:color="auto"/>
            <w:left w:val="none" w:sz="0" w:space="0" w:color="auto"/>
            <w:bottom w:val="none" w:sz="0" w:space="0" w:color="auto"/>
            <w:right w:val="none" w:sz="0" w:space="0" w:color="auto"/>
          </w:divBdr>
        </w:div>
      </w:divsChild>
    </w:div>
    <w:div w:id="938870025">
      <w:bodyDiv w:val="1"/>
      <w:marLeft w:val="0"/>
      <w:marRight w:val="0"/>
      <w:marTop w:val="0"/>
      <w:marBottom w:val="0"/>
      <w:divBdr>
        <w:top w:val="none" w:sz="0" w:space="0" w:color="auto"/>
        <w:left w:val="none" w:sz="0" w:space="0" w:color="auto"/>
        <w:bottom w:val="none" w:sz="0" w:space="0" w:color="auto"/>
        <w:right w:val="none" w:sz="0" w:space="0" w:color="auto"/>
      </w:divBdr>
      <w:divsChild>
        <w:div w:id="1894777454">
          <w:marLeft w:val="0"/>
          <w:marRight w:val="0"/>
          <w:marTop w:val="0"/>
          <w:marBottom w:val="0"/>
          <w:divBdr>
            <w:top w:val="none" w:sz="0" w:space="0" w:color="auto"/>
            <w:left w:val="none" w:sz="0" w:space="0" w:color="auto"/>
            <w:bottom w:val="none" w:sz="0" w:space="0" w:color="auto"/>
            <w:right w:val="none" w:sz="0" w:space="0" w:color="auto"/>
          </w:divBdr>
        </w:div>
      </w:divsChild>
    </w:div>
    <w:div w:id="1082144093">
      <w:bodyDiv w:val="1"/>
      <w:marLeft w:val="0"/>
      <w:marRight w:val="0"/>
      <w:marTop w:val="0"/>
      <w:marBottom w:val="0"/>
      <w:divBdr>
        <w:top w:val="none" w:sz="0" w:space="0" w:color="auto"/>
        <w:left w:val="none" w:sz="0" w:space="0" w:color="auto"/>
        <w:bottom w:val="none" w:sz="0" w:space="0" w:color="auto"/>
        <w:right w:val="none" w:sz="0" w:space="0" w:color="auto"/>
      </w:divBdr>
      <w:divsChild>
        <w:div w:id="2023389044">
          <w:marLeft w:val="0"/>
          <w:marRight w:val="0"/>
          <w:marTop w:val="0"/>
          <w:marBottom w:val="0"/>
          <w:divBdr>
            <w:top w:val="none" w:sz="0" w:space="0" w:color="auto"/>
            <w:left w:val="none" w:sz="0" w:space="0" w:color="auto"/>
            <w:bottom w:val="none" w:sz="0" w:space="0" w:color="auto"/>
            <w:right w:val="none" w:sz="0" w:space="0" w:color="auto"/>
          </w:divBdr>
        </w:div>
      </w:divsChild>
    </w:div>
    <w:div w:id="1112749647">
      <w:bodyDiv w:val="1"/>
      <w:marLeft w:val="0"/>
      <w:marRight w:val="0"/>
      <w:marTop w:val="0"/>
      <w:marBottom w:val="0"/>
      <w:divBdr>
        <w:top w:val="none" w:sz="0" w:space="0" w:color="auto"/>
        <w:left w:val="none" w:sz="0" w:space="0" w:color="auto"/>
        <w:bottom w:val="none" w:sz="0" w:space="0" w:color="auto"/>
        <w:right w:val="none" w:sz="0" w:space="0" w:color="auto"/>
      </w:divBdr>
      <w:divsChild>
        <w:div w:id="1074622153">
          <w:marLeft w:val="0"/>
          <w:marRight w:val="0"/>
          <w:marTop w:val="0"/>
          <w:marBottom w:val="0"/>
          <w:divBdr>
            <w:top w:val="none" w:sz="0" w:space="0" w:color="auto"/>
            <w:left w:val="none" w:sz="0" w:space="0" w:color="auto"/>
            <w:bottom w:val="none" w:sz="0" w:space="0" w:color="auto"/>
            <w:right w:val="none" w:sz="0" w:space="0" w:color="auto"/>
          </w:divBdr>
        </w:div>
      </w:divsChild>
    </w:div>
    <w:div w:id="1269896786">
      <w:bodyDiv w:val="1"/>
      <w:marLeft w:val="0"/>
      <w:marRight w:val="0"/>
      <w:marTop w:val="0"/>
      <w:marBottom w:val="0"/>
      <w:divBdr>
        <w:top w:val="none" w:sz="0" w:space="0" w:color="auto"/>
        <w:left w:val="none" w:sz="0" w:space="0" w:color="auto"/>
        <w:bottom w:val="none" w:sz="0" w:space="0" w:color="auto"/>
        <w:right w:val="none" w:sz="0" w:space="0" w:color="auto"/>
      </w:divBdr>
      <w:divsChild>
        <w:div w:id="995259966">
          <w:marLeft w:val="0"/>
          <w:marRight w:val="0"/>
          <w:marTop w:val="0"/>
          <w:marBottom w:val="0"/>
          <w:divBdr>
            <w:top w:val="none" w:sz="0" w:space="0" w:color="auto"/>
            <w:left w:val="none" w:sz="0" w:space="0" w:color="auto"/>
            <w:bottom w:val="none" w:sz="0" w:space="0" w:color="auto"/>
            <w:right w:val="none" w:sz="0" w:space="0" w:color="auto"/>
          </w:divBdr>
        </w:div>
      </w:divsChild>
    </w:div>
    <w:div w:id="1292978415">
      <w:bodyDiv w:val="1"/>
      <w:marLeft w:val="0"/>
      <w:marRight w:val="0"/>
      <w:marTop w:val="0"/>
      <w:marBottom w:val="0"/>
      <w:divBdr>
        <w:top w:val="none" w:sz="0" w:space="0" w:color="auto"/>
        <w:left w:val="none" w:sz="0" w:space="0" w:color="auto"/>
        <w:bottom w:val="none" w:sz="0" w:space="0" w:color="auto"/>
        <w:right w:val="none" w:sz="0" w:space="0" w:color="auto"/>
      </w:divBdr>
      <w:divsChild>
        <w:div w:id="815955101">
          <w:marLeft w:val="0"/>
          <w:marRight w:val="0"/>
          <w:marTop w:val="0"/>
          <w:marBottom w:val="0"/>
          <w:divBdr>
            <w:top w:val="none" w:sz="0" w:space="0" w:color="auto"/>
            <w:left w:val="none" w:sz="0" w:space="0" w:color="auto"/>
            <w:bottom w:val="none" w:sz="0" w:space="0" w:color="auto"/>
            <w:right w:val="none" w:sz="0" w:space="0" w:color="auto"/>
          </w:divBdr>
        </w:div>
      </w:divsChild>
    </w:div>
    <w:div w:id="1344893747">
      <w:bodyDiv w:val="1"/>
      <w:marLeft w:val="0"/>
      <w:marRight w:val="0"/>
      <w:marTop w:val="0"/>
      <w:marBottom w:val="0"/>
      <w:divBdr>
        <w:top w:val="none" w:sz="0" w:space="0" w:color="auto"/>
        <w:left w:val="none" w:sz="0" w:space="0" w:color="auto"/>
        <w:bottom w:val="none" w:sz="0" w:space="0" w:color="auto"/>
        <w:right w:val="none" w:sz="0" w:space="0" w:color="auto"/>
      </w:divBdr>
      <w:divsChild>
        <w:div w:id="1172992570">
          <w:marLeft w:val="0"/>
          <w:marRight w:val="0"/>
          <w:marTop w:val="0"/>
          <w:marBottom w:val="0"/>
          <w:divBdr>
            <w:top w:val="none" w:sz="0" w:space="0" w:color="auto"/>
            <w:left w:val="none" w:sz="0" w:space="0" w:color="auto"/>
            <w:bottom w:val="none" w:sz="0" w:space="0" w:color="auto"/>
            <w:right w:val="none" w:sz="0" w:space="0" w:color="auto"/>
          </w:divBdr>
        </w:div>
      </w:divsChild>
    </w:div>
    <w:div w:id="1381202383">
      <w:bodyDiv w:val="1"/>
      <w:marLeft w:val="0"/>
      <w:marRight w:val="0"/>
      <w:marTop w:val="0"/>
      <w:marBottom w:val="0"/>
      <w:divBdr>
        <w:top w:val="none" w:sz="0" w:space="0" w:color="auto"/>
        <w:left w:val="none" w:sz="0" w:space="0" w:color="auto"/>
        <w:bottom w:val="none" w:sz="0" w:space="0" w:color="auto"/>
        <w:right w:val="none" w:sz="0" w:space="0" w:color="auto"/>
      </w:divBdr>
      <w:divsChild>
        <w:div w:id="1119952700">
          <w:marLeft w:val="0"/>
          <w:marRight w:val="0"/>
          <w:marTop w:val="0"/>
          <w:marBottom w:val="0"/>
          <w:divBdr>
            <w:top w:val="none" w:sz="0" w:space="0" w:color="auto"/>
            <w:left w:val="none" w:sz="0" w:space="0" w:color="auto"/>
            <w:bottom w:val="none" w:sz="0" w:space="0" w:color="auto"/>
            <w:right w:val="none" w:sz="0" w:space="0" w:color="auto"/>
          </w:divBdr>
        </w:div>
      </w:divsChild>
    </w:div>
    <w:div w:id="1393626265">
      <w:bodyDiv w:val="1"/>
      <w:marLeft w:val="0"/>
      <w:marRight w:val="0"/>
      <w:marTop w:val="0"/>
      <w:marBottom w:val="0"/>
      <w:divBdr>
        <w:top w:val="none" w:sz="0" w:space="0" w:color="auto"/>
        <w:left w:val="none" w:sz="0" w:space="0" w:color="auto"/>
        <w:bottom w:val="none" w:sz="0" w:space="0" w:color="auto"/>
        <w:right w:val="none" w:sz="0" w:space="0" w:color="auto"/>
      </w:divBdr>
      <w:divsChild>
        <w:div w:id="1690331546">
          <w:marLeft w:val="0"/>
          <w:marRight w:val="0"/>
          <w:marTop w:val="0"/>
          <w:marBottom w:val="0"/>
          <w:divBdr>
            <w:top w:val="none" w:sz="0" w:space="0" w:color="auto"/>
            <w:left w:val="none" w:sz="0" w:space="0" w:color="auto"/>
            <w:bottom w:val="none" w:sz="0" w:space="0" w:color="auto"/>
            <w:right w:val="none" w:sz="0" w:space="0" w:color="auto"/>
          </w:divBdr>
        </w:div>
      </w:divsChild>
    </w:div>
    <w:div w:id="1438600618">
      <w:bodyDiv w:val="1"/>
      <w:marLeft w:val="0"/>
      <w:marRight w:val="0"/>
      <w:marTop w:val="0"/>
      <w:marBottom w:val="0"/>
      <w:divBdr>
        <w:top w:val="none" w:sz="0" w:space="0" w:color="auto"/>
        <w:left w:val="none" w:sz="0" w:space="0" w:color="auto"/>
        <w:bottom w:val="none" w:sz="0" w:space="0" w:color="auto"/>
        <w:right w:val="none" w:sz="0" w:space="0" w:color="auto"/>
      </w:divBdr>
      <w:divsChild>
        <w:div w:id="1896770329">
          <w:marLeft w:val="0"/>
          <w:marRight w:val="0"/>
          <w:marTop w:val="0"/>
          <w:marBottom w:val="0"/>
          <w:divBdr>
            <w:top w:val="none" w:sz="0" w:space="0" w:color="auto"/>
            <w:left w:val="none" w:sz="0" w:space="0" w:color="auto"/>
            <w:bottom w:val="none" w:sz="0" w:space="0" w:color="auto"/>
            <w:right w:val="none" w:sz="0" w:space="0" w:color="auto"/>
          </w:divBdr>
        </w:div>
      </w:divsChild>
    </w:div>
    <w:div w:id="1516118780">
      <w:bodyDiv w:val="1"/>
      <w:marLeft w:val="0"/>
      <w:marRight w:val="0"/>
      <w:marTop w:val="0"/>
      <w:marBottom w:val="0"/>
      <w:divBdr>
        <w:top w:val="none" w:sz="0" w:space="0" w:color="auto"/>
        <w:left w:val="none" w:sz="0" w:space="0" w:color="auto"/>
        <w:bottom w:val="none" w:sz="0" w:space="0" w:color="auto"/>
        <w:right w:val="none" w:sz="0" w:space="0" w:color="auto"/>
      </w:divBdr>
      <w:divsChild>
        <w:div w:id="272249228">
          <w:marLeft w:val="0"/>
          <w:marRight w:val="0"/>
          <w:marTop w:val="0"/>
          <w:marBottom w:val="0"/>
          <w:divBdr>
            <w:top w:val="none" w:sz="0" w:space="0" w:color="auto"/>
            <w:left w:val="none" w:sz="0" w:space="0" w:color="auto"/>
            <w:bottom w:val="none" w:sz="0" w:space="0" w:color="auto"/>
            <w:right w:val="none" w:sz="0" w:space="0" w:color="auto"/>
          </w:divBdr>
        </w:div>
      </w:divsChild>
    </w:div>
    <w:div w:id="1581329626">
      <w:bodyDiv w:val="1"/>
      <w:marLeft w:val="0"/>
      <w:marRight w:val="0"/>
      <w:marTop w:val="0"/>
      <w:marBottom w:val="0"/>
      <w:divBdr>
        <w:top w:val="none" w:sz="0" w:space="0" w:color="auto"/>
        <w:left w:val="none" w:sz="0" w:space="0" w:color="auto"/>
        <w:bottom w:val="none" w:sz="0" w:space="0" w:color="auto"/>
        <w:right w:val="none" w:sz="0" w:space="0" w:color="auto"/>
      </w:divBdr>
      <w:divsChild>
        <w:div w:id="1705203674">
          <w:marLeft w:val="0"/>
          <w:marRight w:val="0"/>
          <w:marTop w:val="0"/>
          <w:marBottom w:val="0"/>
          <w:divBdr>
            <w:top w:val="none" w:sz="0" w:space="0" w:color="auto"/>
            <w:left w:val="none" w:sz="0" w:space="0" w:color="auto"/>
            <w:bottom w:val="none" w:sz="0" w:space="0" w:color="auto"/>
            <w:right w:val="none" w:sz="0" w:space="0" w:color="auto"/>
          </w:divBdr>
        </w:div>
      </w:divsChild>
    </w:div>
    <w:div w:id="1721786485">
      <w:bodyDiv w:val="1"/>
      <w:marLeft w:val="0"/>
      <w:marRight w:val="0"/>
      <w:marTop w:val="0"/>
      <w:marBottom w:val="0"/>
      <w:divBdr>
        <w:top w:val="none" w:sz="0" w:space="0" w:color="auto"/>
        <w:left w:val="none" w:sz="0" w:space="0" w:color="auto"/>
        <w:bottom w:val="none" w:sz="0" w:space="0" w:color="auto"/>
        <w:right w:val="none" w:sz="0" w:space="0" w:color="auto"/>
      </w:divBdr>
      <w:divsChild>
        <w:div w:id="620572051">
          <w:marLeft w:val="0"/>
          <w:marRight w:val="0"/>
          <w:marTop w:val="0"/>
          <w:marBottom w:val="0"/>
          <w:divBdr>
            <w:top w:val="none" w:sz="0" w:space="0" w:color="auto"/>
            <w:left w:val="none" w:sz="0" w:space="0" w:color="auto"/>
            <w:bottom w:val="none" w:sz="0" w:space="0" w:color="auto"/>
            <w:right w:val="none" w:sz="0" w:space="0" w:color="auto"/>
          </w:divBdr>
        </w:div>
      </w:divsChild>
    </w:div>
    <w:div w:id="1868180740">
      <w:bodyDiv w:val="1"/>
      <w:marLeft w:val="0"/>
      <w:marRight w:val="0"/>
      <w:marTop w:val="0"/>
      <w:marBottom w:val="0"/>
      <w:divBdr>
        <w:top w:val="none" w:sz="0" w:space="0" w:color="auto"/>
        <w:left w:val="none" w:sz="0" w:space="0" w:color="auto"/>
        <w:bottom w:val="none" w:sz="0" w:space="0" w:color="auto"/>
        <w:right w:val="none" w:sz="0" w:space="0" w:color="auto"/>
      </w:divBdr>
      <w:divsChild>
        <w:div w:id="604993887">
          <w:marLeft w:val="0"/>
          <w:marRight w:val="0"/>
          <w:marTop w:val="0"/>
          <w:marBottom w:val="0"/>
          <w:divBdr>
            <w:top w:val="none" w:sz="0" w:space="0" w:color="auto"/>
            <w:left w:val="none" w:sz="0" w:space="0" w:color="auto"/>
            <w:bottom w:val="none" w:sz="0" w:space="0" w:color="auto"/>
            <w:right w:val="none" w:sz="0" w:space="0" w:color="auto"/>
          </w:divBdr>
        </w:div>
      </w:divsChild>
    </w:div>
    <w:div w:id="2048334453">
      <w:bodyDiv w:val="1"/>
      <w:marLeft w:val="0"/>
      <w:marRight w:val="0"/>
      <w:marTop w:val="0"/>
      <w:marBottom w:val="0"/>
      <w:divBdr>
        <w:top w:val="none" w:sz="0" w:space="0" w:color="auto"/>
        <w:left w:val="none" w:sz="0" w:space="0" w:color="auto"/>
        <w:bottom w:val="none" w:sz="0" w:space="0" w:color="auto"/>
        <w:right w:val="none" w:sz="0" w:space="0" w:color="auto"/>
      </w:divBdr>
      <w:divsChild>
        <w:div w:id="4522084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ucationessex.essex.gov.uk/Event/290328"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ECC 2022">
      <a:dk1>
        <a:srgbClr val="000000"/>
      </a:dk1>
      <a:lt1>
        <a:sysClr val="window" lastClr="FFFFFF"/>
      </a:lt1>
      <a:dk2>
        <a:srgbClr val="000000"/>
      </a:dk2>
      <a:lt2>
        <a:srgbClr val="FFFFFF"/>
      </a:lt2>
      <a:accent1>
        <a:srgbClr val="E40037"/>
      </a:accent1>
      <a:accent2>
        <a:srgbClr val="4179AA"/>
      </a:accent2>
      <a:accent3>
        <a:srgbClr val="ECB720"/>
      </a:accent3>
      <a:accent4>
        <a:srgbClr val="9361B3"/>
      </a:accent4>
      <a:accent5>
        <a:srgbClr val="E97135"/>
      </a:accent5>
      <a:accent6>
        <a:srgbClr val="3A7D64"/>
      </a:accent6>
      <a:hlink>
        <a:srgbClr val="4179AA"/>
      </a:hlink>
      <a:folHlink>
        <a:srgbClr val="76766B"/>
      </a:folHlink>
    </a:clrScheme>
    <a:fontScheme name="Custom 30">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BD529E5BFD3C4587B83CF61B8BFD7E" ma:contentTypeVersion="13" ma:contentTypeDescription="Create a new document." ma:contentTypeScope="" ma:versionID="74c5175a826bb58bb8314efcf71ba94b">
  <xsd:schema xmlns:xsd="http://www.w3.org/2001/XMLSchema" xmlns:xs="http://www.w3.org/2001/XMLSchema" xmlns:p="http://schemas.microsoft.com/office/2006/metadata/properties" xmlns:ns2="83f7c254-7076-404b-a365-327da82c5784" xmlns:ns3="e480762d-17ba-42bc-8a67-2f31dd779084" targetNamespace="http://schemas.microsoft.com/office/2006/metadata/properties" ma:root="true" ma:fieldsID="1d24bf3c354b6411a51e02f44f3c50e7" ns2:_="" ns3:_="">
    <xsd:import namespace="83f7c254-7076-404b-a365-327da82c5784"/>
    <xsd:import namespace="e480762d-17ba-42bc-8a67-2f31dd77908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7c254-7076-404b-a365-327da82c57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1de9a85-6517-4fbb-af6e-3d8f59a4cb5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Comments" ma:index="20" nillable="true" ma:displayName="Comments"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80762d-17ba-42bc-8a67-2f31dd77908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88817a7-aed0-49ad-b63f-cf9b7656f23d}" ma:internalName="TaxCatchAll" ma:showField="CatchAllData" ma:web="e480762d-17ba-42bc-8a67-2f31dd7790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3f7c254-7076-404b-a365-327da82c5784">
      <Terms xmlns="http://schemas.microsoft.com/office/infopath/2007/PartnerControls"/>
    </lcf76f155ced4ddcb4097134ff3c332f>
    <TaxCatchAll xmlns="e480762d-17ba-42bc-8a67-2f31dd779084" xsi:nil="true"/>
    <Comments xmlns="83f7c254-7076-404b-a365-327da82c5784" xsi:nil="true"/>
  </documentManagement>
</p:properties>
</file>

<file path=customXml/itemProps1.xml><?xml version="1.0" encoding="utf-8"?>
<ds:datastoreItem xmlns:ds="http://schemas.openxmlformats.org/officeDocument/2006/customXml" ds:itemID="{737E22F0-F508-4628-AA67-D7CB3E2F2D4B}">
  <ds:schemaRefs>
    <ds:schemaRef ds:uri="http://schemas.openxmlformats.org/officeDocument/2006/bibliography"/>
  </ds:schemaRefs>
</ds:datastoreItem>
</file>

<file path=customXml/itemProps2.xml><?xml version="1.0" encoding="utf-8"?>
<ds:datastoreItem xmlns:ds="http://schemas.openxmlformats.org/officeDocument/2006/customXml" ds:itemID="{C63AA01F-EE74-49E7-B4FE-AF9E0DA7F747}">
  <ds:schemaRefs>
    <ds:schemaRef ds:uri="http://schemas.microsoft.com/sharepoint/v3/contenttype/forms"/>
  </ds:schemaRefs>
</ds:datastoreItem>
</file>

<file path=customXml/itemProps3.xml><?xml version="1.0" encoding="utf-8"?>
<ds:datastoreItem xmlns:ds="http://schemas.openxmlformats.org/officeDocument/2006/customXml" ds:itemID="{E1C960EB-BF23-46AB-AC99-14982FAF21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7c254-7076-404b-a365-327da82c5784"/>
    <ds:schemaRef ds:uri="e480762d-17ba-42bc-8a67-2f31dd779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3F56FD-A6F6-49A0-BAD7-6CF4B4786F34}">
  <ds:schemaRefs>
    <ds:schemaRef ds:uri="http://schemas.microsoft.com/office/2006/metadata/properties"/>
    <ds:schemaRef ds:uri="http://schemas.microsoft.com/office/infopath/2007/PartnerControls"/>
    <ds:schemaRef ds:uri="83f7c254-7076-404b-a365-327da82c5784"/>
    <ds:schemaRef ds:uri="e480762d-17ba-42bc-8a67-2f31dd77908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2578</Words>
  <Characters>14695</Characters>
  <Application>Microsoft Office Word</Application>
  <DocSecurity>0</DocSecurity>
  <Lines>122</Lines>
  <Paragraphs>34</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ECC Standard Word template</vt:lpstr>
      <vt:lpstr>Statutory and Legal Duties </vt:lpstr>
      <vt:lpstr>Essex’s Ambition </vt:lpstr>
      <vt:lpstr>Clarifying Appropriate Use of the DB Code </vt:lpstr>
      <vt:lpstr>Alternative Exclusion Codes </vt:lpstr>
      <vt:lpstr>TPP Aligned Practices Prior to Exclusion </vt:lpstr>
      <vt:lpstr>Reintegration Following Exclusion </vt:lpstr>
      <vt:lpstr>Responsibilities of School Staff and Governors </vt:lpstr>
      <vt:lpstr>Final Commitment </vt:lpstr>
      <vt:lpstr>Introduction </vt:lpstr>
      <vt:lpstr>Statutory and Legal Requirements for Excluding Pupils with SEND  </vt:lpstr>
      <vt:lpstr>Our Ambition in Essex  </vt:lpstr>
      <vt:lpstr>Clarifying the use of Code DB </vt:lpstr>
      <vt:lpstr>        Behaviours that Should Not Fall Under DB </vt:lpstr>
      <vt:lpstr>        Behaviours that May Fall Under DB </vt:lpstr>
      <vt:lpstr>        When the DB Code Is Not Appropriate </vt:lpstr>
      <vt:lpstr>TPP Summary of Principles</vt:lpstr>
      <vt:lpstr>        TPP is based on: </vt:lpstr>
      <vt:lpstr>        TPP Aligned Practical Approaches Before Exclusion </vt:lpstr>
      <vt:lpstr>Use of Alternative Exclusion Codes </vt:lpstr>
      <vt:lpstr>Reintegration after Suspension </vt:lpstr>
      <vt:lpstr>Role of School Staff </vt:lpstr>
      <vt:lpstr>Role of Governors </vt:lpstr>
      <vt:lpstr>Key Questions for School Leaders and Governors </vt:lpstr>
      <vt:lpstr>Final Commitment to the Appropriate Use of the DB Code </vt:lpstr>
      <vt:lpstr/>
    </vt:vector>
  </TitlesOfParts>
  <Company/>
  <LinksUpToDate>false</LinksUpToDate>
  <CharactersWithSpaces>17239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Standard Word template</dc:title>
  <dc:subject/>
  <dc:creator>Nicola Turp - Education Access Specialist</dc:creator>
  <cp:keywords/>
  <dc:description/>
  <cp:lastModifiedBy>Pam Langmead</cp:lastModifiedBy>
  <cp:revision>2</cp:revision>
  <dcterms:created xsi:type="dcterms:W3CDTF">2026-09-07T09:15:00Z</dcterms:created>
  <dcterms:modified xsi:type="dcterms:W3CDTF">2026-09-07T09:15:00Z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SiteId">
    <vt:lpwstr>a8b4324f-155c-4215-a0f1-7ed8cc9a992f</vt:lpwstr>
  </property>
  <property fmtid="{D5CDD505-2E9C-101B-9397-08002B2CF9AE}" pid="3" name="MSIP_Label_39d8be9e-c8d9-4b9c-bd40-2c27cc7ea2e6_Method">
    <vt:lpwstr>Privileged</vt:lpwstr>
  </property>
  <property fmtid="{D5CDD505-2E9C-101B-9397-08002B2CF9AE}" pid="4" name="MSIP_Label_39d8be9e-c8d9-4b9c-bd40-2c27cc7ea2e6_Name">
    <vt:lpwstr>39d8be9e-c8d9-4b9c-bd40-2c27cc7ea2e6</vt:lpwstr>
  </property>
  <property fmtid="{D5CDD505-2E9C-101B-9397-08002B2CF9AE}" pid="5" name="MSIP_Label_39d8be9e-c8d9-4b9c-bd40-2c27cc7ea2e6_ActionId">
    <vt:lpwstr>167bc3e4-b41c-4d2b-b2ce-bd0b6da8e501</vt:lpwstr>
  </property>
  <property fmtid="{D5CDD505-2E9C-101B-9397-08002B2CF9AE}" pid="6" name="MSIP_Label_39d8be9e-c8d9-4b9c-bd40-2c27cc7ea2e6_ContentBits">
    <vt:lpwstr>0</vt:lpwstr>
  </property>
  <property fmtid="{D5CDD505-2E9C-101B-9397-08002B2CF9AE}" pid="7" name="ContentTypeId">
    <vt:lpwstr>0x01010002BD529E5BFD3C4587B83CF61B8BFD7E</vt:lpwstr>
  </property>
  <property fmtid="{D5CDD505-2E9C-101B-9397-08002B2CF9AE}" pid="8" name="Content Subject">
    <vt:lpwstr/>
  </property>
  <property fmtid="{D5CDD505-2E9C-101B-9397-08002B2CF9AE}" pid="9" name="MSIP_Label_39d8be9e-c8d9-4b9c-bd40-2c27cc7ea2e6_Enabled">
    <vt:lpwstr>true</vt:lpwstr>
  </property>
  <property fmtid="{D5CDD505-2E9C-101B-9397-08002B2CF9AE}" pid="10" name="MSIP_Label_39d8be9e-c8d9-4b9c-bd40-2c27cc7ea2e6_SetDate">
    <vt:lpwstr>2022-11-21T16:13:50Z</vt:lpwstr>
  </property>
</Properties>
</file>