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1F6A8" w14:textId="5751ABB3" w:rsidR="00190127" w:rsidRPr="0035510B" w:rsidRDefault="00190127">
      <w:pPr>
        <w:rPr>
          <w:sz w:val="22"/>
          <w:szCs w:val="22"/>
        </w:rPr>
      </w:pPr>
      <w:bookmarkStart w:id="0" w:name="_GoBack"/>
      <w:bookmarkEnd w:id="0"/>
      <w:r w:rsidRPr="0035510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F3E9377" wp14:editId="55172B43">
            <wp:simplePos x="0" y="0"/>
            <wp:positionH relativeFrom="margin">
              <wp:posOffset>0</wp:posOffset>
            </wp:positionH>
            <wp:positionV relativeFrom="paragraph">
              <wp:posOffset>187325</wp:posOffset>
            </wp:positionV>
            <wp:extent cx="1201420" cy="728980"/>
            <wp:effectExtent l="0" t="0" r="0" b="7620"/>
            <wp:wrapSquare wrapText="bothSides"/>
            <wp:docPr id="8" name="Picture 8" descr="EPHA 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HA Logo_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FCD7E" w14:textId="77777777" w:rsidR="00190127" w:rsidRPr="0035510B" w:rsidRDefault="00190127" w:rsidP="00190127">
      <w:pPr>
        <w:rPr>
          <w:sz w:val="22"/>
          <w:szCs w:val="22"/>
        </w:rPr>
      </w:pPr>
    </w:p>
    <w:p w14:paraId="4898470E" w14:textId="77777777" w:rsidR="00190127" w:rsidRPr="0035510B" w:rsidRDefault="00190127" w:rsidP="00190127">
      <w:pPr>
        <w:rPr>
          <w:sz w:val="22"/>
          <w:szCs w:val="22"/>
        </w:rPr>
      </w:pPr>
    </w:p>
    <w:p w14:paraId="7334E2A4" w14:textId="59DB2E9E" w:rsidR="008C1577" w:rsidRPr="0035510B" w:rsidRDefault="0016460A" w:rsidP="00190127">
      <w:pPr>
        <w:rPr>
          <w:sz w:val="22"/>
          <w:szCs w:val="22"/>
        </w:rPr>
      </w:pPr>
    </w:p>
    <w:p w14:paraId="14EAADE5" w14:textId="77777777" w:rsidR="00190127" w:rsidRPr="0035510B" w:rsidRDefault="00190127" w:rsidP="00190127">
      <w:pPr>
        <w:rPr>
          <w:sz w:val="22"/>
          <w:szCs w:val="22"/>
        </w:rPr>
      </w:pPr>
    </w:p>
    <w:p w14:paraId="0A1DDA73" w14:textId="77777777" w:rsidR="00190127" w:rsidRPr="0035510B" w:rsidRDefault="00190127" w:rsidP="00190127">
      <w:pPr>
        <w:rPr>
          <w:sz w:val="22"/>
          <w:szCs w:val="22"/>
        </w:rPr>
      </w:pPr>
    </w:p>
    <w:p w14:paraId="5CC1E76F" w14:textId="27DF0CDC" w:rsidR="00190127" w:rsidRPr="0083042E" w:rsidRDefault="0083042E" w:rsidP="001901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‘</w:t>
      </w:r>
      <w:r w:rsidR="00190127" w:rsidRPr="0083042E">
        <w:rPr>
          <w:b/>
          <w:sz w:val="28"/>
          <w:szCs w:val="28"/>
          <w:u w:val="single"/>
        </w:rPr>
        <w:t>Supporting Mental Health in Schools &amp; Colleges</w:t>
      </w:r>
      <w:r>
        <w:rPr>
          <w:b/>
          <w:sz w:val="28"/>
          <w:szCs w:val="28"/>
          <w:u w:val="single"/>
        </w:rPr>
        <w:t>’</w:t>
      </w:r>
      <w:r w:rsidR="000E38BF" w:rsidRPr="0083042E">
        <w:rPr>
          <w:b/>
          <w:sz w:val="28"/>
          <w:szCs w:val="28"/>
          <w:u w:val="single"/>
        </w:rPr>
        <w:t xml:space="preserve"> - DfE</w:t>
      </w:r>
    </w:p>
    <w:p w14:paraId="09706749" w14:textId="46C01C5F" w:rsidR="0083042E" w:rsidRDefault="0083042E" w:rsidP="001901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NatCe</w:t>
      </w:r>
      <w:r w:rsidR="000E38BF" w:rsidRPr="0083042E">
        <w:rPr>
          <w:b/>
          <w:sz w:val="28"/>
          <w:szCs w:val="28"/>
          <w:u w:val="single"/>
        </w:rPr>
        <w:t>n Social Research &amp; the National Children</w:t>
      </w:r>
      <w:r>
        <w:rPr>
          <w:b/>
          <w:sz w:val="28"/>
          <w:szCs w:val="28"/>
          <w:u w:val="single"/>
        </w:rPr>
        <w:t>’</w:t>
      </w:r>
      <w:r w:rsidR="000E38BF" w:rsidRPr="0083042E">
        <w:rPr>
          <w:b/>
          <w:sz w:val="28"/>
          <w:szCs w:val="28"/>
          <w:u w:val="single"/>
        </w:rPr>
        <w:t xml:space="preserve">s Bureau </w:t>
      </w:r>
    </w:p>
    <w:p w14:paraId="4E1326D8" w14:textId="3836FE5D" w:rsidR="000E38BF" w:rsidRPr="0083042E" w:rsidRDefault="000E38BF" w:rsidP="00190127">
      <w:pPr>
        <w:jc w:val="center"/>
        <w:rPr>
          <w:b/>
          <w:sz w:val="28"/>
          <w:szCs w:val="28"/>
          <w:u w:val="single"/>
        </w:rPr>
      </w:pPr>
      <w:r w:rsidRPr="0083042E">
        <w:rPr>
          <w:b/>
          <w:sz w:val="28"/>
          <w:szCs w:val="28"/>
          <w:u w:val="single"/>
        </w:rPr>
        <w:t>Research and Policy Team</w:t>
      </w:r>
    </w:p>
    <w:p w14:paraId="2DFEC0BC" w14:textId="77777777" w:rsidR="00190127" w:rsidRPr="0083042E" w:rsidRDefault="00190127" w:rsidP="00190127">
      <w:pPr>
        <w:jc w:val="center"/>
        <w:rPr>
          <w:b/>
          <w:sz w:val="28"/>
          <w:szCs w:val="28"/>
          <w:u w:val="single"/>
        </w:rPr>
      </w:pPr>
      <w:r w:rsidRPr="0083042E">
        <w:rPr>
          <w:b/>
          <w:sz w:val="28"/>
          <w:szCs w:val="28"/>
          <w:u w:val="single"/>
        </w:rPr>
        <w:t>Summary Report – August 2017</w:t>
      </w:r>
    </w:p>
    <w:p w14:paraId="39C98082" w14:textId="77777777" w:rsidR="000E38BF" w:rsidRDefault="000E38BF" w:rsidP="0035510B">
      <w:pPr>
        <w:jc w:val="center"/>
        <w:rPr>
          <w:sz w:val="22"/>
          <w:szCs w:val="22"/>
        </w:rPr>
      </w:pPr>
    </w:p>
    <w:p w14:paraId="70C241BD" w14:textId="1DAE5E5B" w:rsidR="00190127" w:rsidRPr="0035510B" w:rsidRDefault="0035510B" w:rsidP="000903DA">
      <w:pPr>
        <w:jc w:val="center"/>
        <w:rPr>
          <w:sz w:val="22"/>
          <w:szCs w:val="22"/>
        </w:rPr>
      </w:pPr>
      <w:r w:rsidRPr="0035510B">
        <w:rPr>
          <w:sz w:val="22"/>
          <w:szCs w:val="22"/>
        </w:rPr>
        <w:t>Two</w:t>
      </w:r>
      <w:r w:rsidR="00295446" w:rsidRPr="0035510B">
        <w:rPr>
          <w:sz w:val="22"/>
          <w:szCs w:val="22"/>
        </w:rPr>
        <w:t>-</w:t>
      </w:r>
      <w:r w:rsidR="00190127" w:rsidRPr="0035510B">
        <w:rPr>
          <w:sz w:val="22"/>
          <w:szCs w:val="22"/>
        </w:rPr>
        <w:t>page summary by EPHA Executive Director – Nigel Hookway</w:t>
      </w:r>
    </w:p>
    <w:p w14:paraId="3652205B" w14:textId="4FFD8283" w:rsidR="00190127" w:rsidRPr="0035510B" w:rsidRDefault="008666F7" w:rsidP="00934283">
      <w:pPr>
        <w:jc w:val="center"/>
        <w:rPr>
          <w:i/>
          <w:sz w:val="22"/>
          <w:szCs w:val="22"/>
        </w:rPr>
      </w:pPr>
      <w:r w:rsidRPr="0035510B">
        <w:rPr>
          <w:sz w:val="22"/>
          <w:szCs w:val="22"/>
        </w:rPr>
        <w:t xml:space="preserve">Theresa May said in a speech in January 2017 that mental health is one of the </w:t>
      </w:r>
      <w:r w:rsidRPr="0035510B">
        <w:rPr>
          <w:i/>
          <w:sz w:val="22"/>
          <w:szCs w:val="22"/>
        </w:rPr>
        <w:t>“greatest social challenges of our time”.</w:t>
      </w:r>
    </w:p>
    <w:p w14:paraId="660E3F5D" w14:textId="4FB3957A" w:rsidR="008666F7" w:rsidRPr="0035510B" w:rsidRDefault="008666F7" w:rsidP="008666F7">
      <w:pPr>
        <w:rPr>
          <w:sz w:val="22"/>
          <w:szCs w:val="22"/>
        </w:rPr>
      </w:pPr>
      <w:r w:rsidRPr="0035510B">
        <w:rPr>
          <w:sz w:val="22"/>
          <w:szCs w:val="22"/>
        </w:rPr>
        <w:t>This report summarises part of a wider, mixed methods project exploring mental health and character education provision in schools and colleges across England. There were 2,780 institutions completed mental h</w:t>
      </w:r>
      <w:r w:rsidR="00CA3F06" w:rsidRPr="0035510B">
        <w:rPr>
          <w:sz w:val="22"/>
          <w:szCs w:val="22"/>
        </w:rPr>
        <w:t xml:space="preserve">ealth surveys across England, including </w:t>
      </w:r>
      <w:r w:rsidR="00295446" w:rsidRPr="0035510B">
        <w:rPr>
          <w:sz w:val="22"/>
          <w:szCs w:val="22"/>
        </w:rPr>
        <w:t>1,704 responses from Primary Schools. 15 Case Studies were conducted across all institutions during Autumn 2016.</w:t>
      </w:r>
      <w:r w:rsidR="0063344E">
        <w:rPr>
          <w:sz w:val="22"/>
          <w:szCs w:val="22"/>
        </w:rPr>
        <w:t xml:space="preserve"> Locally in Essex</w:t>
      </w:r>
      <w:r w:rsidR="000903DA">
        <w:rPr>
          <w:sz w:val="22"/>
          <w:szCs w:val="22"/>
        </w:rPr>
        <w:t>,</w:t>
      </w:r>
      <w:r w:rsidR="0063344E">
        <w:rPr>
          <w:sz w:val="22"/>
          <w:szCs w:val="22"/>
        </w:rPr>
        <w:t xml:space="preserve"> Cherry Tree Primary School in Basildon wer</w:t>
      </w:r>
      <w:r w:rsidR="000903DA">
        <w:rPr>
          <w:sz w:val="22"/>
          <w:szCs w:val="22"/>
        </w:rPr>
        <w:t>e involved with the research. Mrs. Barrand, Headteacher of Cherry Tree Primary School visited the DfE and contributed to discussions about mental health</w:t>
      </w:r>
      <w:r w:rsidR="00C330B7">
        <w:rPr>
          <w:sz w:val="22"/>
          <w:szCs w:val="22"/>
        </w:rPr>
        <w:t xml:space="preserve"> issues</w:t>
      </w:r>
      <w:r w:rsidR="000903DA">
        <w:rPr>
          <w:sz w:val="22"/>
          <w:szCs w:val="22"/>
        </w:rPr>
        <w:t xml:space="preserve"> in primary schools.</w:t>
      </w:r>
    </w:p>
    <w:p w14:paraId="3D67AC2D" w14:textId="117BA9C7" w:rsidR="008666F7" w:rsidRPr="0035510B" w:rsidRDefault="008666F7" w:rsidP="008666F7">
      <w:pPr>
        <w:rPr>
          <w:b/>
          <w:sz w:val="22"/>
          <w:szCs w:val="22"/>
          <w:u w:val="single"/>
        </w:rPr>
      </w:pPr>
      <w:r w:rsidRPr="0035510B">
        <w:rPr>
          <w:b/>
          <w:sz w:val="22"/>
          <w:szCs w:val="22"/>
          <w:u w:val="single"/>
        </w:rPr>
        <w:t>Three Aims:</w:t>
      </w:r>
    </w:p>
    <w:p w14:paraId="6C72F707" w14:textId="0384390F" w:rsidR="008666F7" w:rsidRPr="0035510B" w:rsidRDefault="008666F7" w:rsidP="008666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510B">
        <w:rPr>
          <w:sz w:val="22"/>
          <w:szCs w:val="22"/>
        </w:rPr>
        <w:t>Robust national estimates on activities and support provided by schools and colleges</w:t>
      </w:r>
    </w:p>
    <w:p w14:paraId="0D0B3F33" w14:textId="0FCEDC81" w:rsidR="008666F7" w:rsidRPr="0035510B" w:rsidRDefault="008666F7" w:rsidP="008666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510B">
        <w:rPr>
          <w:sz w:val="22"/>
          <w:szCs w:val="22"/>
        </w:rPr>
        <w:t>Qualitative evidence to explore models of delivery</w:t>
      </w:r>
    </w:p>
    <w:p w14:paraId="2435268E" w14:textId="78329AE5" w:rsidR="00295446" w:rsidRPr="000903DA" w:rsidRDefault="008666F7" w:rsidP="000903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510B">
        <w:rPr>
          <w:sz w:val="22"/>
          <w:szCs w:val="22"/>
        </w:rPr>
        <w:t>Examples of specific activities that schools and colleges have found effective</w:t>
      </w:r>
    </w:p>
    <w:p w14:paraId="4BA1BE28" w14:textId="08C82197" w:rsidR="008666F7" w:rsidRPr="0035510B" w:rsidRDefault="00295446" w:rsidP="008666F7">
      <w:pPr>
        <w:rPr>
          <w:b/>
          <w:sz w:val="22"/>
          <w:szCs w:val="22"/>
          <w:u w:val="single"/>
        </w:rPr>
      </w:pPr>
      <w:r w:rsidRPr="0035510B">
        <w:rPr>
          <w:b/>
          <w:sz w:val="22"/>
          <w:szCs w:val="22"/>
          <w:u w:val="single"/>
        </w:rPr>
        <w:t>Key Findings:</w:t>
      </w:r>
    </w:p>
    <w:p w14:paraId="2614D8A6" w14:textId="6E3840F8" w:rsidR="00295446" w:rsidRPr="0035510B" w:rsidRDefault="00295446" w:rsidP="008666F7">
      <w:pPr>
        <w:rPr>
          <w:b/>
          <w:i/>
          <w:sz w:val="22"/>
          <w:szCs w:val="22"/>
        </w:rPr>
      </w:pPr>
      <w:r w:rsidRPr="0035510B">
        <w:rPr>
          <w:b/>
          <w:i/>
          <w:sz w:val="22"/>
          <w:szCs w:val="22"/>
        </w:rPr>
        <w:t>How do</w:t>
      </w:r>
      <w:r w:rsidRPr="0035510B">
        <w:rPr>
          <w:sz w:val="22"/>
          <w:szCs w:val="22"/>
        </w:rPr>
        <w:t xml:space="preserve"> </w:t>
      </w:r>
      <w:r w:rsidRPr="0035510B">
        <w:rPr>
          <w:b/>
          <w:i/>
          <w:sz w:val="22"/>
          <w:szCs w:val="22"/>
        </w:rPr>
        <w:t>educational institutions understand their role in supporting pupils’ mental health?</w:t>
      </w:r>
    </w:p>
    <w:p w14:paraId="0C01FCF1" w14:textId="2F638EC3" w:rsidR="00295446" w:rsidRPr="0035510B" w:rsidRDefault="00295446" w:rsidP="0029544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510B">
        <w:rPr>
          <w:sz w:val="22"/>
          <w:szCs w:val="22"/>
        </w:rPr>
        <w:t>Promoting mental wellbeing by creating an environment where children and y</w:t>
      </w:r>
      <w:r w:rsidR="006B6489">
        <w:rPr>
          <w:sz w:val="22"/>
          <w:szCs w:val="22"/>
        </w:rPr>
        <w:t>oung people feel safe and happy;</w:t>
      </w:r>
    </w:p>
    <w:p w14:paraId="4251E231" w14:textId="37C59E7A" w:rsidR="00295446" w:rsidRPr="0035510B" w:rsidRDefault="00295446" w:rsidP="0029544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510B">
        <w:rPr>
          <w:sz w:val="22"/>
          <w:szCs w:val="22"/>
        </w:rPr>
        <w:t>Identifying pupils’ specific mental health needs;</w:t>
      </w:r>
    </w:p>
    <w:p w14:paraId="2731B393" w14:textId="77777777" w:rsidR="00295446" w:rsidRPr="0035510B" w:rsidRDefault="00295446" w:rsidP="0029544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510B">
        <w:rPr>
          <w:sz w:val="22"/>
          <w:szCs w:val="22"/>
        </w:rPr>
        <w:t xml:space="preserve">Providing mental health support for pupils with particular needs; and </w:t>
      </w:r>
    </w:p>
    <w:p w14:paraId="50A07C19" w14:textId="3A202C64" w:rsidR="00295446" w:rsidRPr="0035510B" w:rsidRDefault="00295446" w:rsidP="0029544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510B">
        <w:rPr>
          <w:sz w:val="22"/>
          <w:szCs w:val="22"/>
        </w:rPr>
        <w:t>Referring to and/or delivering specialist therapeutic provision</w:t>
      </w:r>
    </w:p>
    <w:p w14:paraId="4E3DF656" w14:textId="4C9920FA" w:rsidR="00295446" w:rsidRPr="0035510B" w:rsidRDefault="00295446" w:rsidP="00295446">
      <w:pPr>
        <w:rPr>
          <w:b/>
          <w:i/>
          <w:sz w:val="22"/>
          <w:szCs w:val="22"/>
        </w:rPr>
      </w:pPr>
      <w:r w:rsidRPr="0035510B">
        <w:rPr>
          <w:b/>
          <w:i/>
          <w:sz w:val="22"/>
          <w:szCs w:val="22"/>
        </w:rPr>
        <w:t>What do institutions do to promote positive mental health and wellbeing among their pupils?</w:t>
      </w:r>
    </w:p>
    <w:p w14:paraId="2992EA5E" w14:textId="707FC2A6" w:rsidR="00295446" w:rsidRPr="0035510B" w:rsidRDefault="00295446" w:rsidP="0029544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5510B">
        <w:rPr>
          <w:sz w:val="22"/>
          <w:szCs w:val="22"/>
        </w:rPr>
        <w:t>Normalise mental health issues;</w:t>
      </w:r>
    </w:p>
    <w:p w14:paraId="30D99ABC" w14:textId="6EDFFEF2" w:rsidR="00295446" w:rsidRPr="0035510B" w:rsidRDefault="00295446" w:rsidP="0029544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5510B">
        <w:rPr>
          <w:sz w:val="22"/>
          <w:szCs w:val="22"/>
        </w:rPr>
        <w:t xml:space="preserve">Raise awareness of </w:t>
      </w:r>
      <w:r w:rsidR="000E38BF" w:rsidRPr="0035510B">
        <w:rPr>
          <w:sz w:val="22"/>
          <w:szCs w:val="22"/>
        </w:rPr>
        <w:t>how and</w:t>
      </w:r>
      <w:r w:rsidRPr="0035510B">
        <w:rPr>
          <w:sz w:val="22"/>
          <w:szCs w:val="22"/>
        </w:rPr>
        <w:t xml:space="preserve"> where pupils can access support; and</w:t>
      </w:r>
    </w:p>
    <w:p w14:paraId="229A614D" w14:textId="5C1EEE02" w:rsidR="00295446" w:rsidRPr="0035510B" w:rsidRDefault="00295446" w:rsidP="0029544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5510B">
        <w:rPr>
          <w:sz w:val="22"/>
          <w:szCs w:val="22"/>
        </w:rPr>
        <w:t>Support the development of emotional literacy and resilience to help pupils to explain, understand and find ways to manage their emotions and mental health.</w:t>
      </w:r>
    </w:p>
    <w:p w14:paraId="299D9D2B" w14:textId="65D6B1D8" w:rsidR="00295446" w:rsidRPr="0035510B" w:rsidRDefault="009423E2" w:rsidP="00295446">
      <w:pPr>
        <w:rPr>
          <w:b/>
          <w:i/>
          <w:sz w:val="22"/>
          <w:szCs w:val="22"/>
        </w:rPr>
      </w:pPr>
      <w:r w:rsidRPr="0035510B">
        <w:rPr>
          <w:b/>
          <w:i/>
          <w:sz w:val="22"/>
          <w:szCs w:val="22"/>
        </w:rPr>
        <w:t>How do institutions identify pupils with particular mental health?</w:t>
      </w:r>
    </w:p>
    <w:p w14:paraId="6098ED5B" w14:textId="3BBA646C" w:rsidR="009423E2" w:rsidRPr="0035510B" w:rsidRDefault="00DC1A2C" w:rsidP="009423E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5510B">
        <w:rPr>
          <w:sz w:val="22"/>
          <w:szCs w:val="22"/>
        </w:rPr>
        <w:t>Identification by staff or other mental health professionals;</w:t>
      </w:r>
    </w:p>
    <w:p w14:paraId="2FDFE755" w14:textId="4BB5CFB6" w:rsidR="00DC1A2C" w:rsidRPr="0035510B" w:rsidRDefault="00DC1A2C" w:rsidP="009423E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5510B">
        <w:rPr>
          <w:sz w:val="22"/>
          <w:szCs w:val="22"/>
        </w:rPr>
        <w:t>During admissions or inductions process;</w:t>
      </w:r>
    </w:p>
    <w:p w14:paraId="21260C62" w14:textId="29368FC0" w:rsidR="00DC1A2C" w:rsidRPr="0035510B" w:rsidRDefault="00DC1A2C" w:rsidP="009423E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5510B">
        <w:rPr>
          <w:sz w:val="22"/>
          <w:szCs w:val="22"/>
        </w:rPr>
        <w:t>Through children referring themselves, or their friends or parents doing this on their behalf</w:t>
      </w:r>
    </w:p>
    <w:p w14:paraId="1B911DF2" w14:textId="61E15B0C" w:rsidR="00DC1A2C" w:rsidRPr="0035510B" w:rsidRDefault="00DC1A2C" w:rsidP="00DC1A2C">
      <w:pPr>
        <w:rPr>
          <w:sz w:val="22"/>
          <w:szCs w:val="22"/>
        </w:rPr>
      </w:pPr>
      <w:r w:rsidRPr="0035510B">
        <w:rPr>
          <w:b/>
          <w:i/>
          <w:sz w:val="22"/>
          <w:szCs w:val="22"/>
        </w:rPr>
        <w:t>What support do institutions offer for pupils with identified needs?</w:t>
      </w:r>
    </w:p>
    <w:p w14:paraId="5C4F1B90" w14:textId="1885AC86" w:rsidR="00DC1A2C" w:rsidRPr="0035510B" w:rsidRDefault="00DC1A2C" w:rsidP="00DC1A2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5510B">
        <w:rPr>
          <w:sz w:val="22"/>
          <w:szCs w:val="22"/>
        </w:rPr>
        <w:t>Educational psychological support (61%)</w:t>
      </w:r>
    </w:p>
    <w:p w14:paraId="06878854" w14:textId="1BA3A14A" w:rsidR="00DC1A2C" w:rsidRPr="0035510B" w:rsidRDefault="00DC1A2C" w:rsidP="00DC1A2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5510B">
        <w:rPr>
          <w:sz w:val="22"/>
          <w:szCs w:val="22"/>
        </w:rPr>
        <w:t>Cognitive behavioural therapy (CBT) (18%)</w:t>
      </w:r>
    </w:p>
    <w:p w14:paraId="5B385862" w14:textId="40E9ADA3" w:rsidR="00DC1A2C" w:rsidRPr="0035510B" w:rsidRDefault="00DC1A2C" w:rsidP="00DC1A2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5510B">
        <w:rPr>
          <w:sz w:val="22"/>
          <w:szCs w:val="22"/>
        </w:rPr>
        <w:t>Clinical psychological support (14%)</w:t>
      </w:r>
    </w:p>
    <w:p w14:paraId="7990BE83" w14:textId="0F164D9B" w:rsidR="00DC1A2C" w:rsidRPr="0035510B" w:rsidRDefault="00DC1A2C" w:rsidP="00DC1A2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5510B">
        <w:rPr>
          <w:sz w:val="22"/>
          <w:szCs w:val="22"/>
        </w:rPr>
        <w:t>Having a dedicated space including nurture rooms/sensory rooms</w:t>
      </w:r>
    </w:p>
    <w:p w14:paraId="5FB71E67" w14:textId="32FD2479" w:rsidR="00DC1A2C" w:rsidRPr="0035510B" w:rsidRDefault="00DC1A2C" w:rsidP="00DC1A2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5510B">
        <w:rPr>
          <w:sz w:val="22"/>
          <w:szCs w:val="22"/>
        </w:rPr>
        <w:t xml:space="preserve">Monitoring tools sought impact measurement including such data </w:t>
      </w:r>
      <w:r w:rsidR="000E38BF" w:rsidRPr="0035510B">
        <w:rPr>
          <w:sz w:val="22"/>
          <w:szCs w:val="22"/>
        </w:rPr>
        <w:t>as attendance</w:t>
      </w:r>
      <w:r w:rsidRPr="0035510B">
        <w:rPr>
          <w:sz w:val="22"/>
          <w:szCs w:val="22"/>
        </w:rPr>
        <w:t>, behaviour and achievement as well as SDQ</w:t>
      </w:r>
      <w:r w:rsidR="0083042E">
        <w:rPr>
          <w:sz w:val="22"/>
          <w:szCs w:val="22"/>
        </w:rPr>
        <w:t>s</w:t>
      </w:r>
      <w:r w:rsidRPr="0035510B">
        <w:rPr>
          <w:sz w:val="22"/>
          <w:szCs w:val="22"/>
        </w:rPr>
        <w:t xml:space="preserve"> were all used to assess support (94%)</w:t>
      </w:r>
    </w:p>
    <w:p w14:paraId="14292A07" w14:textId="0E93B683" w:rsidR="00DC1A2C" w:rsidRPr="0035510B" w:rsidRDefault="00DC1A2C" w:rsidP="00DC1A2C">
      <w:pPr>
        <w:rPr>
          <w:b/>
          <w:i/>
          <w:sz w:val="22"/>
          <w:szCs w:val="22"/>
        </w:rPr>
      </w:pPr>
      <w:r w:rsidRPr="0035510B">
        <w:rPr>
          <w:b/>
          <w:i/>
          <w:sz w:val="22"/>
          <w:szCs w:val="22"/>
        </w:rPr>
        <w:t>How do institutions fund their provision?</w:t>
      </w:r>
    </w:p>
    <w:p w14:paraId="02A85363" w14:textId="27959A0B" w:rsidR="00DC1A2C" w:rsidRPr="0035510B" w:rsidRDefault="00DC1A2C" w:rsidP="00DC1A2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5510B">
        <w:rPr>
          <w:sz w:val="22"/>
          <w:szCs w:val="22"/>
        </w:rPr>
        <w:t>Almost all funded from own budgets</w:t>
      </w:r>
      <w:r w:rsidR="006D2C37" w:rsidRPr="0035510B">
        <w:rPr>
          <w:sz w:val="22"/>
          <w:szCs w:val="22"/>
        </w:rPr>
        <w:t xml:space="preserve"> – lack of external support in many cases</w:t>
      </w:r>
      <w:r w:rsidRPr="0035510B">
        <w:rPr>
          <w:sz w:val="22"/>
          <w:szCs w:val="22"/>
        </w:rPr>
        <w:t xml:space="preserve"> </w:t>
      </w:r>
    </w:p>
    <w:p w14:paraId="3070A99E" w14:textId="2B64459D" w:rsidR="00DC1A2C" w:rsidRPr="0035510B" w:rsidRDefault="00DC1A2C" w:rsidP="00DC1A2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5510B">
        <w:rPr>
          <w:sz w:val="22"/>
          <w:szCs w:val="22"/>
        </w:rPr>
        <w:lastRenderedPageBreak/>
        <w:t>Counselling services (93%)</w:t>
      </w:r>
      <w:r w:rsidR="006D2C37" w:rsidRPr="0035510B">
        <w:rPr>
          <w:sz w:val="22"/>
          <w:szCs w:val="22"/>
        </w:rPr>
        <w:t xml:space="preserve"> was the vast majority of costs, although difficult funding decisions were made by institutions to support spending on mental health</w:t>
      </w:r>
    </w:p>
    <w:p w14:paraId="40CF74DF" w14:textId="4A67CE24" w:rsidR="006D2C37" w:rsidRPr="0035510B" w:rsidRDefault="006D2C37" w:rsidP="00DC1A2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5510B">
        <w:rPr>
          <w:sz w:val="22"/>
          <w:szCs w:val="22"/>
        </w:rPr>
        <w:t>Charities or practitioners provided free or low cost support on trial periods, however there was unce</w:t>
      </w:r>
      <w:r w:rsidR="0083042E">
        <w:rPr>
          <w:sz w:val="22"/>
          <w:szCs w:val="22"/>
        </w:rPr>
        <w:t>rtainty over this approach and subsequent impact</w:t>
      </w:r>
      <w:r w:rsidRPr="0035510B">
        <w:rPr>
          <w:sz w:val="22"/>
          <w:szCs w:val="22"/>
        </w:rPr>
        <w:t xml:space="preserve"> upon pupils’ mental well-being</w:t>
      </w:r>
    </w:p>
    <w:p w14:paraId="4378D147" w14:textId="05AB5930" w:rsidR="006D2C37" w:rsidRPr="0035510B" w:rsidRDefault="006D2C37" w:rsidP="006D2C37">
      <w:pPr>
        <w:rPr>
          <w:b/>
          <w:i/>
          <w:sz w:val="22"/>
          <w:szCs w:val="22"/>
        </w:rPr>
      </w:pPr>
      <w:r w:rsidRPr="0035510B">
        <w:rPr>
          <w:b/>
          <w:i/>
          <w:sz w:val="22"/>
          <w:szCs w:val="22"/>
        </w:rPr>
        <w:t>What plans and policies are in place to support mental health?</w:t>
      </w:r>
    </w:p>
    <w:p w14:paraId="5D5AF665" w14:textId="5177F472" w:rsidR="006D2C37" w:rsidRPr="0035510B" w:rsidRDefault="006D2C37" w:rsidP="006D2C3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5510B">
        <w:rPr>
          <w:sz w:val="22"/>
          <w:szCs w:val="22"/>
        </w:rPr>
        <w:t>Majority of respondents (87%) had a plan or policy in place</w:t>
      </w:r>
    </w:p>
    <w:p w14:paraId="11505274" w14:textId="2E109AE6" w:rsidR="006D2C37" w:rsidRPr="0035510B" w:rsidRDefault="006D2C37" w:rsidP="006D2C3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5510B">
        <w:rPr>
          <w:sz w:val="22"/>
          <w:szCs w:val="22"/>
        </w:rPr>
        <w:t xml:space="preserve">Case study settings found that some institutions had </w:t>
      </w:r>
      <w:r w:rsidR="000E38BF" w:rsidRPr="0035510B">
        <w:rPr>
          <w:sz w:val="22"/>
          <w:szCs w:val="22"/>
        </w:rPr>
        <w:t>incorporated wellbeing</w:t>
      </w:r>
      <w:r w:rsidRPr="0035510B">
        <w:rPr>
          <w:sz w:val="22"/>
          <w:szCs w:val="22"/>
        </w:rPr>
        <w:t xml:space="preserve"> and mental health into a variety of relevant policies including </w:t>
      </w:r>
      <w:r w:rsidR="000E38BF" w:rsidRPr="0035510B">
        <w:rPr>
          <w:sz w:val="22"/>
          <w:szCs w:val="22"/>
        </w:rPr>
        <w:t>Safeguarding</w:t>
      </w:r>
      <w:r w:rsidRPr="0035510B">
        <w:rPr>
          <w:sz w:val="22"/>
          <w:szCs w:val="22"/>
        </w:rPr>
        <w:t>, Behaviour, SEN, Inclusion and broader health and wellbeing policies</w:t>
      </w:r>
    </w:p>
    <w:p w14:paraId="01E99E1F" w14:textId="42AE5638" w:rsidR="006D2C37" w:rsidRPr="0035510B" w:rsidRDefault="006D2C37" w:rsidP="006D2C37">
      <w:pPr>
        <w:rPr>
          <w:sz w:val="22"/>
          <w:szCs w:val="22"/>
        </w:rPr>
      </w:pPr>
      <w:r w:rsidRPr="0035510B">
        <w:rPr>
          <w:b/>
          <w:i/>
          <w:sz w:val="22"/>
          <w:szCs w:val="22"/>
        </w:rPr>
        <w:t>How do</w:t>
      </w:r>
      <w:r w:rsidRPr="0035510B">
        <w:rPr>
          <w:sz w:val="22"/>
          <w:szCs w:val="22"/>
        </w:rPr>
        <w:t xml:space="preserve"> </w:t>
      </w:r>
      <w:r w:rsidRPr="0035510B">
        <w:rPr>
          <w:b/>
          <w:i/>
          <w:sz w:val="22"/>
          <w:szCs w:val="22"/>
        </w:rPr>
        <w:t>institutions work with external services to support pupils’ mental health?</w:t>
      </w:r>
    </w:p>
    <w:p w14:paraId="539374E3" w14:textId="24E696FA" w:rsidR="006D2C37" w:rsidRPr="0035510B" w:rsidRDefault="006D2C37" w:rsidP="006D2C3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5510B">
        <w:rPr>
          <w:sz w:val="22"/>
          <w:szCs w:val="22"/>
        </w:rPr>
        <w:t>Public health teams (74%)/ Speciali</w:t>
      </w:r>
      <w:r w:rsidR="00FC38E3">
        <w:rPr>
          <w:sz w:val="22"/>
          <w:szCs w:val="22"/>
        </w:rPr>
        <w:t xml:space="preserve">st mental health services (73%) DfE guidance (59%) </w:t>
      </w:r>
      <w:r w:rsidRPr="0035510B">
        <w:rPr>
          <w:sz w:val="22"/>
          <w:szCs w:val="22"/>
        </w:rPr>
        <w:t>Mental health organisations (57%)</w:t>
      </w:r>
    </w:p>
    <w:p w14:paraId="4DEEFDD3" w14:textId="12AFAB3C" w:rsidR="006D2C37" w:rsidRPr="0035510B" w:rsidRDefault="004A6824" w:rsidP="006D2C3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5510B">
        <w:rPr>
          <w:sz w:val="22"/>
          <w:szCs w:val="22"/>
        </w:rPr>
        <w:t>Institutions used specialist mental health servic</w:t>
      </w:r>
      <w:r w:rsidR="00FC38E3">
        <w:rPr>
          <w:sz w:val="22"/>
          <w:szCs w:val="22"/>
        </w:rPr>
        <w:t>es including NHS, CYPMHS (93%)</w:t>
      </w:r>
      <w:r w:rsidRPr="0035510B">
        <w:rPr>
          <w:sz w:val="22"/>
          <w:szCs w:val="22"/>
        </w:rPr>
        <w:t xml:space="preserve"> GPs (73%) and other specialist voluntary or independent services (53%)</w:t>
      </w:r>
    </w:p>
    <w:p w14:paraId="7A6711B3" w14:textId="166550FB" w:rsidR="004A6824" w:rsidRPr="0035510B" w:rsidRDefault="004A6824" w:rsidP="006D2C3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5510B">
        <w:rPr>
          <w:sz w:val="22"/>
          <w:szCs w:val="22"/>
        </w:rPr>
        <w:t>Most institutions had a dedicated member of staff for linking with external services (68%) but only 1 in 5 (19%) had a single point of contact for external services &amp; help</w:t>
      </w:r>
    </w:p>
    <w:p w14:paraId="40C666DF" w14:textId="47E06A1A" w:rsidR="004A6824" w:rsidRPr="0035510B" w:rsidRDefault="004A6824" w:rsidP="006D2C3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5510B">
        <w:rPr>
          <w:sz w:val="22"/>
          <w:szCs w:val="22"/>
        </w:rPr>
        <w:t xml:space="preserve">This single point of contact was seen as a </w:t>
      </w:r>
      <w:r w:rsidRPr="0035510B">
        <w:rPr>
          <w:b/>
          <w:sz w:val="22"/>
          <w:szCs w:val="22"/>
          <w:u w:val="single"/>
        </w:rPr>
        <w:t>key barrier</w:t>
      </w:r>
      <w:r w:rsidRPr="0035510B">
        <w:rPr>
          <w:sz w:val="22"/>
          <w:szCs w:val="22"/>
        </w:rPr>
        <w:t xml:space="preserve"> to joint working</w:t>
      </w:r>
    </w:p>
    <w:p w14:paraId="075334C6" w14:textId="0333212F" w:rsidR="004A6824" w:rsidRPr="0035510B" w:rsidRDefault="004A6824" w:rsidP="004A6824">
      <w:pPr>
        <w:rPr>
          <w:b/>
          <w:i/>
          <w:sz w:val="22"/>
          <w:szCs w:val="22"/>
        </w:rPr>
      </w:pPr>
      <w:r w:rsidRPr="0035510B">
        <w:rPr>
          <w:b/>
          <w:i/>
          <w:sz w:val="22"/>
          <w:szCs w:val="22"/>
        </w:rPr>
        <w:t>What challenges do institutions face?</w:t>
      </w:r>
    </w:p>
    <w:p w14:paraId="54635EA7" w14:textId="6A4A6C09" w:rsidR="004A6824" w:rsidRPr="0035510B" w:rsidRDefault="0035510B" w:rsidP="004A682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510B">
        <w:rPr>
          <w:sz w:val="22"/>
          <w:szCs w:val="22"/>
        </w:rPr>
        <w:t>Difficulties in commissioning local services (74%)</w:t>
      </w:r>
    </w:p>
    <w:p w14:paraId="023FF298" w14:textId="34D3B0E0" w:rsidR="0035510B" w:rsidRPr="0035510B" w:rsidRDefault="0035510B" w:rsidP="004A682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510B">
        <w:rPr>
          <w:sz w:val="22"/>
          <w:szCs w:val="22"/>
        </w:rPr>
        <w:t>Lack of funding (71%)</w:t>
      </w:r>
    </w:p>
    <w:p w14:paraId="3CD7909D" w14:textId="70BFCCBF" w:rsidR="0035510B" w:rsidRPr="0035510B" w:rsidRDefault="0035510B" w:rsidP="004A682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510B">
        <w:rPr>
          <w:sz w:val="22"/>
          <w:szCs w:val="22"/>
        </w:rPr>
        <w:t>Long waiting lists, high thresholds for specialist provision</w:t>
      </w:r>
    </w:p>
    <w:p w14:paraId="3835530C" w14:textId="7951D592" w:rsidR="0035510B" w:rsidRPr="0035510B" w:rsidRDefault="0035510B" w:rsidP="004A682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510B">
        <w:rPr>
          <w:sz w:val="22"/>
          <w:szCs w:val="22"/>
        </w:rPr>
        <w:t>Lack of internal capacity (59%)</w:t>
      </w:r>
    </w:p>
    <w:p w14:paraId="091EAFFB" w14:textId="52E88F85" w:rsidR="0035510B" w:rsidRPr="0035510B" w:rsidRDefault="0035510B" w:rsidP="004A682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510B">
        <w:rPr>
          <w:sz w:val="22"/>
          <w:szCs w:val="22"/>
        </w:rPr>
        <w:t>Quarter of institutions (26%) highlighted a lack of engagement from families</w:t>
      </w:r>
    </w:p>
    <w:p w14:paraId="537B3461" w14:textId="6883F0C0" w:rsidR="0035510B" w:rsidRPr="0035510B" w:rsidRDefault="0035510B" w:rsidP="0035510B">
      <w:pPr>
        <w:rPr>
          <w:b/>
          <w:i/>
          <w:sz w:val="22"/>
          <w:szCs w:val="22"/>
        </w:rPr>
      </w:pPr>
      <w:r w:rsidRPr="0035510B">
        <w:rPr>
          <w:b/>
          <w:i/>
          <w:sz w:val="22"/>
          <w:szCs w:val="22"/>
        </w:rPr>
        <w:t>What do institutions think is key to success?</w:t>
      </w:r>
    </w:p>
    <w:p w14:paraId="79345A95" w14:textId="22A184AA" w:rsidR="0035510B" w:rsidRPr="0035510B" w:rsidRDefault="0035510B" w:rsidP="0035510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5510B">
        <w:rPr>
          <w:sz w:val="22"/>
          <w:szCs w:val="22"/>
        </w:rPr>
        <w:t xml:space="preserve">Institutions that had created a shared vision and understanding of mental health along with a senior member of staff </w:t>
      </w:r>
      <w:r w:rsidR="0083042E">
        <w:rPr>
          <w:sz w:val="22"/>
          <w:szCs w:val="22"/>
        </w:rPr>
        <w:t xml:space="preserve">responsible; in </w:t>
      </w:r>
      <w:r w:rsidR="00934283">
        <w:rPr>
          <w:sz w:val="22"/>
          <w:szCs w:val="22"/>
        </w:rPr>
        <w:t>addition,</w:t>
      </w:r>
      <w:r w:rsidRPr="0035510B">
        <w:rPr>
          <w:sz w:val="22"/>
          <w:szCs w:val="22"/>
        </w:rPr>
        <w:t xml:space="preserve"> acknowledgment that staff had mental health needs too</w:t>
      </w:r>
    </w:p>
    <w:p w14:paraId="035B0272" w14:textId="77777777" w:rsidR="0035510B" w:rsidRPr="0035510B" w:rsidRDefault="0035510B" w:rsidP="0035510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5510B">
        <w:rPr>
          <w:sz w:val="22"/>
          <w:szCs w:val="22"/>
        </w:rPr>
        <w:t>Whole school, clear approach which engendered trust and supported effective training</w:t>
      </w:r>
    </w:p>
    <w:p w14:paraId="5B68E830" w14:textId="77777777" w:rsidR="0035510B" w:rsidRPr="0035510B" w:rsidRDefault="0035510B" w:rsidP="0035510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5510B">
        <w:rPr>
          <w:sz w:val="22"/>
          <w:szCs w:val="22"/>
        </w:rPr>
        <w:t>The Government should:</w:t>
      </w:r>
    </w:p>
    <w:p w14:paraId="2142F2CD" w14:textId="77777777" w:rsidR="0035510B" w:rsidRPr="0035510B" w:rsidRDefault="0035510B" w:rsidP="0035510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5510B">
        <w:rPr>
          <w:sz w:val="22"/>
          <w:szCs w:val="22"/>
        </w:rPr>
        <w:t xml:space="preserve">provide more resources </w:t>
      </w:r>
    </w:p>
    <w:p w14:paraId="61AFF562" w14:textId="77777777" w:rsidR="0035510B" w:rsidRPr="0035510B" w:rsidRDefault="0035510B" w:rsidP="0035510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5510B">
        <w:rPr>
          <w:sz w:val="22"/>
          <w:szCs w:val="22"/>
        </w:rPr>
        <w:t>support more training</w:t>
      </w:r>
    </w:p>
    <w:p w14:paraId="743CF786" w14:textId="77777777" w:rsidR="0035510B" w:rsidRPr="0035510B" w:rsidRDefault="0035510B" w:rsidP="0035510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5510B">
        <w:rPr>
          <w:sz w:val="22"/>
          <w:szCs w:val="22"/>
        </w:rPr>
        <w:t>increase funding for specialist services</w:t>
      </w:r>
    </w:p>
    <w:p w14:paraId="6F04DB9B" w14:textId="77777777" w:rsidR="0035510B" w:rsidRPr="0035510B" w:rsidRDefault="0035510B" w:rsidP="0035510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5510B">
        <w:rPr>
          <w:sz w:val="22"/>
          <w:szCs w:val="22"/>
        </w:rPr>
        <w:t>support a directory of local services</w:t>
      </w:r>
    </w:p>
    <w:p w14:paraId="7887D068" w14:textId="77777777" w:rsidR="0035510B" w:rsidRPr="0035510B" w:rsidRDefault="0035510B" w:rsidP="0035510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5510B">
        <w:rPr>
          <w:sz w:val="22"/>
          <w:szCs w:val="22"/>
        </w:rPr>
        <w:t>A menu bank of tools that have been proven to work</w:t>
      </w:r>
    </w:p>
    <w:p w14:paraId="3D1369F1" w14:textId="03CE24C9" w:rsidR="0083042E" w:rsidRPr="00934283" w:rsidRDefault="0035510B" w:rsidP="0035510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5510B">
        <w:rPr>
          <w:sz w:val="22"/>
          <w:szCs w:val="22"/>
        </w:rPr>
        <w:t>Tips on how to monitor pupils’ mental health and impact of provision</w:t>
      </w:r>
    </w:p>
    <w:p w14:paraId="456683CD" w14:textId="77777777" w:rsidR="000903DA" w:rsidRDefault="000903DA" w:rsidP="0035510B">
      <w:pPr>
        <w:rPr>
          <w:b/>
          <w:i/>
          <w:sz w:val="22"/>
          <w:szCs w:val="22"/>
        </w:rPr>
      </w:pPr>
    </w:p>
    <w:p w14:paraId="6156B57C" w14:textId="77777777" w:rsidR="0035510B" w:rsidRPr="0083042E" w:rsidRDefault="0035510B" w:rsidP="0035510B">
      <w:pPr>
        <w:rPr>
          <w:b/>
          <w:i/>
          <w:sz w:val="22"/>
          <w:szCs w:val="22"/>
        </w:rPr>
      </w:pPr>
      <w:r w:rsidRPr="0083042E">
        <w:rPr>
          <w:b/>
          <w:i/>
          <w:sz w:val="22"/>
          <w:szCs w:val="22"/>
        </w:rPr>
        <w:t>Conclusions:</w:t>
      </w:r>
    </w:p>
    <w:p w14:paraId="310748CA" w14:textId="4F25D958" w:rsidR="0035510B" w:rsidRDefault="000E38BF" w:rsidP="000E38B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There is a broad range of activities and approaches aimed at promoting positive mental health and wellbeing among all pupils</w:t>
      </w:r>
    </w:p>
    <w:p w14:paraId="306FE15F" w14:textId="5DDF5631" w:rsidR="000E38BF" w:rsidRDefault="0083042E" w:rsidP="000E38B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Institution-</w:t>
      </w:r>
      <w:r w:rsidR="000E38BF">
        <w:rPr>
          <w:sz w:val="22"/>
          <w:szCs w:val="22"/>
        </w:rPr>
        <w:t>wide approaches to mental health were commonly adopted</w:t>
      </w:r>
    </w:p>
    <w:p w14:paraId="7A0FEB05" w14:textId="16CA2B29" w:rsidR="000E38BF" w:rsidRDefault="000E38BF" w:rsidP="000E38B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 shared vision and ethos is the key to promotion of positive mental health as well as early identification of those in need</w:t>
      </w:r>
    </w:p>
    <w:p w14:paraId="21C82899" w14:textId="7E0D1B28" w:rsidR="000E38BF" w:rsidRDefault="000E38BF" w:rsidP="000E38B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Institutions worked in tandem with external mental health providers to offer specialist mental health provision, although a lack of time and capacity were problematic</w:t>
      </w:r>
    </w:p>
    <w:p w14:paraId="2924A650" w14:textId="0DFC4B76" w:rsidR="000E38BF" w:rsidRDefault="000E38BF" w:rsidP="000E38B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The DfE intend for this work to provide a foundation for future policy and research</w:t>
      </w:r>
    </w:p>
    <w:p w14:paraId="1665F170" w14:textId="77777777" w:rsidR="00934283" w:rsidRDefault="00934283" w:rsidP="000E38BF">
      <w:pPr>
        <w:rPr>
          <w:sz w:val="22"/>
          <w:szCs w:val="22"/>
        </w:rPr>
      </w:pPr>
    </w:p>
    <w:p w14:paraId="39942FFC" w14:textId="58836BB6" w:rsidR="000E38BF" w:rsidRDefault="000E38BF" w:rsidP="000E38BF">
      <w:pPr>
        <w:rPr>
          <w:sz w:val="22"/>
          <w:szCs w:val="22"/>
        </w:rPr>
      </w:pPr>
      <w:r>
        <w:rPr>
          <w:sz w:val="22"/>
          <w:szCs w:val="22"/>
        </w:rPr>
        <w:t xml:space="preserve">This document is available to download at </w:t>
      </w:r>
      <w:hyperlink r:id="rId6" w:history="1">
        <w:r w:rsidRPr="00255181">
          <w:rPr>
            <w:rStyle w:val="Hyperlink"/>
            <w:sz w:val="22"/>
            <w:szCs w:val="22"/>
          </w:rPr>
          <w:t>www.gov.uk/government/publications</w:t>
        </w:r>
      </w:hyperlink>
    </w:p>
    <w:p w14:paraId="762456FF" w14:textId="1EF79B61" w:rsidR="00295446" w:rsidRDefault="000E38BF" w:rsidP="000E38BF">
      <w:pPr>
        <w:rPr>
          <w:sz w:val="22"/>
          <w:szCs w:val="22"/>
        </w:rPr>
      </w:pPr>
      <w:r>
        <w:rPr>
          <w:sz w:val="22"/>
          <w:szCs w:val="22"/>
        </w:rPr>
        <w:t xml:space="preserve">Any enquiries regarding this document should be sent to </w:t>
      </w:r>
      <w:hyperlink r:id="rId7" w:history="1">
        <w:r>
          <w:rPr>
            <w:rStyle w:val="Hyperlink"/>
            <w:sz w:val="22"/>
            <w:szCs w:val="22"/>
          </w:rPr>
          <w:t>c</w:t>
        </w:r>
        <w:r w:rsidRPr="00255181">
          <w:rPr>
            <w:rStyle w:val="Hyperlink"/>
            <w:sz w:val="22"/>
            <w:szCs w:val="22"/>
          </w:rPr>
          <w:t>atherine.newsome@education.gov.uk</w:t>
        </w:r>
      </w:hyperlink>
    </w:p>
    <w:p w14:paraId="0253DDE9" w14:textId="2F183353" w:rsidR="000E38BF" w:rsidRDefault="000E38BF" w:rsidP="000E38BF">
      <w:pPr>
        <w:rPr>
          <w:sz w:val="22"/>
          <w:szCs w:val="22"/>
        </w:rPr>
      </w:pPr>
      <w:r>
        <w:rPr>
          <w:sz w:val="22"/>
          <w:szCs w:val="22"/>
        </w:rPr>
        <w:t>Nigel Hookway</w:t>
      </w:r>
    </w:p>
    <w:p w14:paraId="710A6761" w14:textId="7F529A55" w:rsidR="000E38BF" w:rsidRDefault="000E38BF" w:rsidP="000E38BF">
      <w:pPr>
        <w:rPr>
          <w:sz w:val="22"/>
          <w:szCs w:val="22"/>
        </w:rPr>
      </w:pPr>
      <w:r>
        <w:rPr>
          <w:sz w:val="22"/>
          <w:szCs w:val="22"/>
        </w:rPr>
        <w:t>EPHA Executive Director</w:t>
      </w:r>
    </w:p>
    <w:p w14:paraId="1C108C51" w14:textId="2FDBC8AD" w:rsidR="000903DA" w:rsidRPr="000903DA" w:rsidRDefault="000903DA" w:rsidP="000E38BF">
      <w:pPr>
        <w:rPr>
          <w:sz w:val="22"/>
          <w:szCs w:val="22"/>
        </w:rPr>
      </w:pPr>
      <w:r>
        <w:rPr>
          <w:sz w:val="22"/>
          <w:szCs w:val="22"/>
        </w:rPr>
        <w:t>September 2017</w:t>
      </w:r>
    </w:p>
    <w:sectPr w:rsidR="000903DA" w:rsidRPr="000903DA" w:rsidSect="00B008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21DC"/>
    <w:multiLevelType w:val="hybridMultilevel"/>
    <w:tmpl w:val="48A0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5BBD"/>
    <w:multiLevelType w:val="hybridMultilevel"/>
    <w:tmpl w:val="55B0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3DB9"/>
    <w:multiLevelType w:val="hybridMultilevel"/>
    <w:tmpl w:val="27F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395A"/>
    <w:multiLevelType w:val="hybridMultilevel"/>
    <w:tmpl w:val="E796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3CAA"/>
    <w:multiLevelType w:val="hybridMultilevel"/>
    <w:tmpl w:val="2CDE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73160"/>
    <w:multiLevelType w:val="hybridMultilevel"/>
    <w:tmpl w:val="E45C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E52C5"/>
    <w:multiLevelType w:val="hybridMultilevel"/>
    <w:tmpl w:val="4CFE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0256C"/>
    <w:multiLevelType w:val="hybridMultilevel"/>
    <w:tmpl w:val="D1B0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D2E07"/>
    <w:multiLevelType w:val="hybridMultilevel"/>
    <w:tmpl w:val="EEAA7AA6"/>
    <w:lvl w:ilvl="0" w:tplc="04090009">
      <w:start w:val="1"/>
      <w:numFmt w:val="bullet"/>
      <w:lvlText w:val="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 w15:restartNumberingAfterBreak="0">
    <w:nsid w:val="502C66FA"/>
    <w:multiLevelType w:val="hybridMultilevel"/>
    <w:tmpl w:val="7E343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C0EA3"/>
    <w:multiLevelType w:val="hybridMultilevel"/>
    <w:tmpl w:val="9144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C439B"/>
    <w:multiLevelType w:val="hybridMultilevel"/>
    <w:tmpl w:val="9D0C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931D9"/>
    <w:multiLevelType w:val="hybridMultilevel"/>
    <w:tmpl w:val="03FC37A8"/>
    <w:lvl w:ilvl="0" w:tplc="040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 w15:restartNumberingAfterBreak="0">
    <w:nsid w:val="7870392C"/>
    <w:multiLevelType w:val="hybridMultilevel"/>
    <w:tmpl w:val="3678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2D"/>
    <w:rsid w:val="000903DA"/>
    <w:rsid w:val="000E38BF"/>
    <w:rsid w:val="0016460A"/>
    <w:rsid w:val="00190127"/>
    <w:rsid w:val="00295446"/>
    <w:rsid w:val="0035510B"/>
    <w:rsid w:val="004A6824"/>
    <w:rsid w:val="0063344E"/>
    <w:rsid w:val="006B6489"/>
    <w:rsid w:val="006D2C37"/>
    <w:rsid w:val="0083042E"/>
    <w:rsid w:val="008666F7"/>
    <w:rsid w:val="00934283"/>
    <w:rsid w:val="009423E2"/>
    <w:rsid w:val="00975C2D"/>
    <w:rsid w:val="00B008BB"/>
    <w:rsid w:val="00BD4993"/>
    <w:rsid w:val="00C330B7"/>
    <w:rsid w:val="00CA3F06"/>
    <w:rsid w:val="00DC1A2C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3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8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.newsome@educati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government/public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 Langmead</cp:lastModifiedBy>
  <cp:revision>2</cp:revision>
  <cp:lastPrinted>2017-09-30T09:53:00Z</cp:lastPrinted>
  <dcterms:created xsi:type="dcterms:W3CDTF">2017-10-11T16:24:00Z</dcterms:created>
  <dcterms:modified xsi:type="dcterms:W3CDTF">2017-10-11T16:24:00Z</dcterms:modified>
</cp:coreProperties>
</file>